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165"/>
        <w:rPr>
          <w:sz w:val="20"/>
        </w:rPr>
      </w:pPr>
      <w:r>
        <w:rPr>
          <w:sz w:val="20"/>
        </w:rPr>
        <mc:AlternateContent>
          <mc:Choice Requires="wps">
            <w:drawing>
              <wp:anchor distT="0" distB="0" distL="0" distR="0" allowOverlap="1" layoutInCell="1" locked="0" behindDoc="0" simplePos="0" relativeHeight="15729664">
                <wp:simplePos x="0" y="0"/>
                <wp:positionH relativeFrom="page">
                  <wp:posOffset>270575</wp:posOffset>
                </wp:positionH>
                <wp:positionV relativeFrom="page">
                  <wp:posOffset>1114363</wp:posOffset>
                </wp:positionV>
                <wp:extent cx="146050" cy="921004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46050" cy="9210040"/>
                        </a:xfrm>
                        <a:prstGeom prst="rect">
                          <a:avLst/>
                        </a:prstGeom>
                      </wps:spPr>
                      <wps:txbx>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wps:txbx>
                      <wps:bodyPr wrap="square" lIns="0" tIns="0" rIns="0" bIns="0" rtlCol="0" vert="vert27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1.305176pt;margin-top:87.745193pt;width:11.5pt;height:725.2pt;mso-position-horizontal-relative:page;mso-position-vertical-relative:page;z-index:15729664" type="#_x0000_t202" id="docshape1" filled="false" stroked="false">
                <v:textbox inset="0,0,0,0" style="layout-flow:vertical;mso-layout-flow-alt:bottom-to-top">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v:textbox>
                <w10:wrap type="none"/>
              </v:shape>
            </w:pict>
          </mc:Fallback>
        </mc:AlternateContent>
      </w:r>
      <w:r>
        <w:rPr>
          <w:sz w:val="20"/>
        </w:rPr>
        <w:drawing>
          <wp:inline distT="0" distB="0" distL="0" distR="0">
            <wp:extent cx="1527695" cy="420624"/>
            <wp:effectExtent l="0" t="0" r="0" b="0"/>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1527695" cy="420624"/>
                    </a:xfrm>
                    <a:prstGeom prst="rect">
                      <a:avLst/>
                    </a:prstGeom>
                  </pic:spPr>
                </pic:pic>
              </a:graphicData>
            </a:graphic>
          </wp:inline>
        </w:drawing>
      </w:r>
      <w:r>
        <w:rPr>
          <w:sz w:val="20"/>
        </w:rPr>
      </w:r>
    </w:p>
    <w:p>
      <w:pPr>
        <w:pStyle w:val="BodyText"/>
        <w:spacing w:before="52"/>
        <w:rPr>
          <w:sz w:val="18"/>
        </w:rPr>
      </w:pPr>
    </w:p>
    <w:p>
      <w:pPr>
        <w:spacing w:before="0"/>
        <w:ind w:left="0" w:right="161" w:firstLine="0"/>
        <w:jc w:val="right"/>
        <w:rPr>
          <w:rFonts w:ascii="Arial"/>
          <w:b/>
          <w:sz w:val="18"/>
        </w:rPr>
      </w:pPr>
      <w:r>
        <w:rPr>
          <w:rFonts w:ascii="Arial"/>
          <w:b/>
          <w:sz w:val="18"/>
        </w:rPr>
        <mc:AlternateContent>
          <mc:Choice Requires="wps">
            <w:drawing>
              <wp:anchor distT="0" distB="0" distL="0" distR="0" allowOverlap="1" layoutInCell="1" locked="0" behindDoc="1" simplePos="0" relativeHeight="487587840">
                <wp:simplePos x="0" y="0"/>
                <wp:positionH relativeFrom="page">
                  <wp:posOffset>896416</wp:posOffset>
                </wp:positionH>
                <wp:positionV relativeFrom="paragraph">
                  <wp:posOffset>144283</wp:posOffset>
                </wp:positionV>
                <wp:extent cx="5769610" cy="9525"/>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5769610" cy="9525"/>
                        </a:xfrm>
                        <a:custGeom>
                          <a:avLst/>
                          <a:gdLst/>
                          <a:ahLst/>
                          <a:cxnLst/>
                          <a:rect l="l" t="t" r="r" b="b"/>
                          <a:pathLst>
                            <a:path w="5769610" h="9525">
                              <a:moveTo>
                                <a:pt x="5769229" y="0"/>
                              </a:moveTo>
                              <a:lnTo>
                                <a:pt x="0" y="0"/>
                              </a:lnTo>
                              <a:lnTo>
                                <a:pt x="0" y="9144"/>
                              </a:lnTo>
                              <a:lnTo>
                                <a:pt x="5769229" y="9144"/>
                              </a:lnTo>
                              <a:lnTo>
                                <a:pt x="5769229"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rect style="position:absolute;margin-left:70.584pt;margin-top:11.360879pt;width:454.27pt;height:.72pt;mso-position-horizontal-relative:page;mso-position-vertical-relative:paragraph;z-index:-15728640;mso-wrap-distance-left:0;mso-wrap-distance-right:0" id="docshape2" filled="true" fillcolor="#585858" stroked="false">
                <v:fill type="solid"/>
                <w10:wrap type="topAndBottom"/>
              </v:rect>
            </w:pict>
          </mc:Fallback>
        </mc:AlternateContent>
      </w:r>
      <w:r>
        <w:rPr>
          <w:rFonts w:ascii="Arial"/>
          <w:b/>
          <w:color w:val="585858"/>
          <w:sz w:val="18"/>
        </w:rPr>
        <w:t>LES</w:t>
      </w:r>
      <w:r>
        <w:rPr>
          <w:rFonts w:ascii="Arial"/>
          <w:b/>
          <w:color w:val="585858"/>
          <w:spacing w:val="-5"/>
          <w:sz w:val="18"/>
        </w:rPr>
        <w:t> </w:t>
      </w:r>
      <w:r>
        <w:rPr>
          <w:rFonts w:ascii="Arial"/>
          <w:b/>
          <w:color w:val="585858"/>
          <w:sz w:val="18"/>
        </w:rPr>
        <w:t>CHAMBRES</w:t>
      </w:r>
      <w:r>
        <w:rPr>
          <w:rFonts w:ascii="Arial"/>
          <w:b/>
          <w:color w:val="585858"/>
          <w:spacing w:val="-5"/>
          <w:sz w:val="18"/>
        </w:rPr>
        <w:t> </w:t>
      </w:r>
      <w:r>
        <w:rPr>
          <w:rFonts w:ascii="Arial"/>
          <w:b/>
          <w:color w:val="585858"/>
          <w:sz w:val="18"/>
        </w:rPr>
        <w:t>DE</w:t>
      </w:r>
      <w:r>
        <w:rPr>
          <w:rFonts w:ascii="Arial"/>
          <w:b/>
          <w:color w:val="585858"/>
          <w:spacing w:val="-5"/>
          <w:sz w:val="18"/>
        </w:rPr>
        <w:t> </w:t>
      </w:r>
      <w:r>
        <w:rPr>
          <w:rFonts w:ascii="Arial"/>
          <w:b/>
          <w:color w:val="585858"/>
          <w:spacing w:val="-2"/>
          <w:sz w:val="18"/>
        </w:rPr>
        <w:t>RECOURS</w:t>
      </w:r>
    </w:p>
    <w:p>
      <w:pPr>
        <w:pStyle w:val="BodyText"/>
        <w:rPr>
          <w:rFonts w:ascii="Arial"/>
          <w:b/>
        </w:rPr>
      </w:pPr>
    </w:p>
    <w:p>
      <w:pPr>
        <w:pStyle w:val="BodyText"/>
        <w:spacing w:before="85"/>
        <w:rPr>
          <w:rFonts w:ascii="Arial"/>
          <w:b/>
        </w:rPr>
      </w:pPr>
    </w:p>
    <w:p>
      <w:pPr>
        <w:spacing w:before="0"/>
        <w:ind w:left="2739" w:right="2738" w:firstLine="0"/>
        <w:jc w:val="center"/>
        <w:rPr>
          <w:b/>
          <w:sz w:val="24"/>
        </w:rPr>
      </w:pPr>
      <w:r>
        <w:rPr>
          <w:b/>
          <w:spacing w:val="-2"/>
          <w:sz w:val="24"/>
        </w:rPr>
        <w:t>DÉCISION</w:t>
      </w:r>
    </w:p>
    <w:p>
      <w:pPr>
        <w:spacing w:before="0"/>
        <w:ind w:left="2734" w:right="2738" w:firstLine="0"/>
        <w:jc w:val="center"/>
        <w:rPr>
          <w:b/>
          <w:sz w:val="24"/>
        </w:rPr>
      </w:pPr>
      <w:r>
        <w:rPr>
          <w:b/>
          <w:sz w:val="24"/>
        </w:rPr>
        <w:t>de</w:t>
      </w:r>
      <w:r>
        <w:rPr>
          <w:b/>
          <w:spacing w:val="-8"/>
          <w:sz w:val="24"/>
        </w:rPr>
        <w:t> </w:t>
      </w:r>
      <w:r>
        <w:rPr>
          <w:b/>
          <w:sz w:val="24"/>
        </w:rPr>
        <w:t>la</w:t>
      </w:r>
      <w:r>
        <w:rPr>
          <w:b/>
          <w:spacing w:val="-7"/>
          <w:sz w:val="24"/>
        </w:rPr>
        <w:t> </w:t>
      </w:r>
      <w:r>
        <w:rPr>
          <w:b/>
          <w:sz w:val="24"/>
        </w:rPr>
        <w:t>cinquième</w:t>
      </w:r>
      <w:r>
        <w:rPr>
          <w:b/>
          <w:spacing w:val="-8"/>
          <w:sz w:val="24"/>
        </w:rPr>
        <w:t> </w:t>
      </w:r>
      <w:r>
        <w:rPr>
          <w:b/>
          <w:sz w:val="24"/>
        </w:rPr>
        <w:t>chambre</w:t>
      </w:r>
      <w:r>
        <w:rPr>
          <w:b/>
          <w:spacing w:val="-8"/>
          <w:sz w:val="24"/>
        </w:rPr>
        <w:t> </w:t>
      </w:r>
      <w:r>
        <w:rPr>
          <w:b/>
          <w:sz w:val="24"/>
        </w:rPr>
        <w:t>de</w:t>
      </w:r>
      <w:r>
        <w:rPr>
          <w:b/>
          <w:spacing w:val="-8"/>
          <w:sz w:val="24"/>
        </w:rPr>
        <w:t> </w:t>
      </w:r>
      <w:r>
        <w:rPr>
          <w:b/>
          <w:sz w:val="24"/>
        </w:rPr>
        <w:t>recours du 20 mars 2025</w:t>
      </w:r>
    </w:p>
    <w:p>
      <w:pPr>
        <w:pStyle w:val="BodyText"/>
        <w:spacing w:before="84"/>
        <w:rPr>
          <w:b/>
        </w:rPr>
      </w:pPr>
    </w:p>
    <w:p>
      <w:pPr>
        <w:pStyle w:val="BodyText"/>
        <w:ind w:left="165"/>
      </w:pPr>
      <w:r>
        <w:rPr/>
        <w:t>Dans</w:t>
      </w:r>
      <w:r>
        <w:rPr>
          <w:spacing w:val="-3"/>
        </w:rPr>
        <w:t> </w:t>
      </w:r>
      <w:r>
        <w:rPr/>
        <w:t>l’affaire</w:t>
      </w:r>
      <w:r>
        <w:rPr>
          <w:spacing w:val="-3"/>
        </w:rPr>
        <w:t> </w:t>
      </w:r>
      <w:r>
        <w:rPr/>
        <w:t>R</w:t>
      </w:r>
      <w:r>
        <w:rPr>
          <w:spacing w:val="-1"/>
        </w:rPr>
        <w:t> </w:t>
      </w:r>
      <w:r>
        <w:rPr/>
        <w:t>1603/2024-</w:t>
      </w:r>
      <w:r>
        <w:rPr>
          <w:spacing w:val="-10"/>
        </w:rPr>
        <w:t>5</w:t>
      </w:r>
    </w:p>
    <w:p>
      <w:pPr>
        <w:pStyle w:val="BodyText"/>
        <w:spacing w:before="155"/>
        <w:rPr>
          <w:sz w:val="20"/>
        </w:rPr>
      </w:pPr>
    </w:p>
    <w:tbl>
      <w:tblPr>
        <w:tblW w:w="0" w:type="auto"/>
        <w:jc w:val="left"/>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33"/>
        <w:gridCol w:w="4098"/>
      </w:tblGrid>
      <w:tr>
        <w:trPr>
          <w:trHeight w:val="285" w:hRule="atLeast"/>
        </w:trPr>
        <w:tc>
          <w:tcPr>
            <w:tcW w:w="4933" w:type="dxa"/>
          </w:tcPr>
          <w:p>
            <w:pPr>
              <w:pStyle w:val="TableParagraph"/>
              <w:spacing w:line="265" w:lineRule="exact"/>
              <w:ind w:left="50"/>
              <w:rPr>
                <w:b/>
                <w:sz w:val="24"/>
              </w:rPr>
            </w:pPr>
            <w:r>
              <w:rPr>
                <w:b/>
                <w:spacing w:val="-2"/>
                <w:sz w:val="24"/>
              </w:rPr>
              <w:t>Chanel</w:t>
            </w:r>
          </w:p>
        </w:tc>
        <w:tc>
          <w:tcPr>
            <w:tcW w:w="4098" w:type="dxa"/>
          </w:tcPr>
          <w:p>
            <w:pPr>
              <w:pStyle w:val="TableParagraph"/>
              <w:rPr>
                <w:sz w:val="20"/>
              </w:rPr>
            </w:pPr>
          </w:p>
        </w:tc>
      </w:tr>
      <w:tr>
        <w:trPr>
          <w:trHeight w:val="837" w:hRule="atLeast"/>
        </w:trPr>
        <w:tc>
          <w:tcPr>
            <w:tcW w:w="4933" w:type="dxa"/>
          </w:tcPr>
          <w:p>
            <w:pPr>
              <w:pStyle w:val="TableParagraph"/>
              <w:spacing w:before="9"/>
              <w:ind w:left="50"/>
              <w:rPr>
                <w:sz w:val="24"/>
              </w:rPr>
            </w:pPr>
            <w:r>
              <w:rPr>
                <w:sz w:val="24"/>
              </w:rPr>
              <w:t>135,</w:t>
            </w:r>
            <w:r>
              <w:rPr>
                <w:spacing w:val="-1"/>
                <w:sz w:val="24"/>
              </w:rPr>
              <w:t> </w:t>
            </w:r>
            <w:r>
              <w:rPr>
                <w:sz w:val="24"/>
              </w:rPr>
              <w:t>avenue</w:t>
            </w:r>
            <w:r>
              <w:rPr>
                <w:spacing w:val="-2"/>
                <w:sz w:val="24"/>
              </w:rPr>
              <w:t> </w:t>
            </w:r>
            <w:r>
              <w:rPr>
                <w:sz w:val="24"/>
              </w:rPr>
              <w:t>Charles</w:t>
            </w:r>
            <w:r>
              <w:rPr>
                <w:spacing w:val="-1"/>
                <w:sz w:val="24"/>
              </w:rPr>
              <w:t> </w:t>
            </w:r>
            <w:r>
              <w:rPr>
                <w:sz w:val="24"/>
              </w:rPr>
              <w:t>de</w:t>
            </w:r>
            <w:r>
              <w:rPr>
                <w:spacing w:val="1"/>
                <w:sz w:val="24"/>
              </w:rPr>
              <w:t> </w:t>
            </w:r>
            <w:r>
              <w:rPr>
                <w:spacing w:val="-2"/>
                <w:sz w:val="24"/>
              </w:rPr>
              <w:t>Gaulle</w:t>
            </w:r>
          </w:p>
          <w:p>
            <w:pPr>
              <w:pStyle w:val="TableParagraph"/>
              <w:spacing w:line="270" w:lineRule="atLeast"/>
              <w:ind w:left="50" w:right="1976"/>
              <w:rPr>
                <w:sz w:val="24"/>
              </w:rPr>
            </w:pPr>
            <w:r>
              <w:rPr>
                <w:sz w:val="24"/>
              </w:rPr>
              <w:t>92200</w:t>
            </w:r>
            <w:r>
              <w:rPr>
                <w:spacing w:val="-14"/>
                <w:sz w:val="24"/>
              </w:rPr>
              <w:t> </w:t>
            </w:r>
            <w:r>
              <w:rPr>
                <w:sz w:val="24"/>
              </w:rPr>
              <w:t>Neuilly</w:t>
            </w:r>
            <w:r>
              <w:rPr>
                <w:spacing w:val="-15"/>
                <w:sz w:val="24"/>
              </w:rPr>
              <w:t> </w:t>
            </w:r>
            <w:r>
              <w:rPr>
                <w:sz w:val="24"/>
              </w:rPr>
              <w:t>sur</w:t>
            </w:r>
            <w:r>
              <w:rPr>
                <w:spacing w:val="-12"/>
                <w:sz w:val="24"/>
              </w:rPr>
              <w:t> </w:t>
            </w:r>
            <w:r>
              <w:rPr>
                <w:sz w:val="24"/>
              </w:rPr>
              <w:t>Seine </w:t>
            </w:r>
            <w:r>
              <w:rPr>
                <w:spacing w:val="-2"/>
                <w:sz w:val="24"/>
              </w:rPr>
              <w:t>France</w:t>
            </w:r>
          </w:p>
        </w:tc>
        <w:tc>
          <w:tcPr>
            <w:tcW w:w="4098" w:type="dxa"/>
          </w:tcPr>
          <w:p>
            <w:pPr>
              <w:pStyle w:val="TableParagraph"/>
              <w:rPr>
                <w:sz w:val="24"/>
              </w:rPr>
            </w:pPr>
          </w:p>
          <w:p>
            <w:pPr>
              <w:pStyle w:val="TableParagraph"/>
              <w:spacing w:before="9"/>
              <w:rPr>
                <w:sz w:val="24"/>
              </w:rPr>
            </w:pPr>
          </w:p>
          <w:p>
            <w:pPr>
              <w:pStyle w:val="TableParagraph"/>
              <w:spacing w:line="256" w:lineRule="exact" w:before="1"/>
              <w:ind w:left="1945"/>
              <w:rPr>
                <w:sz w:val="24"/>
              </w:rPr>
            </w:pPr>
            <w:r>
              <w:rPr>
                <w:spacing w:val="-2"/>
                <w:sz w:val="24"/>
              </w:rPr>
              <w:t>Opposante/requérante</w:t>
            </w:r>
          </w:p>
        </w:tc>
      </w:tr>
    </w:tbl>
    <w:p>
      <w:pPr>
        <w:pStyle w:val="BodyText"/>
        <w:spacing w:before="135"/>
        <w:ind w:left="165"/>
      </w:pPr>
      <w:r>
        <w:rPr/>
        <w:t>représentée</w:t>
      </w:r>
      <w:r>
        <w:rPr>
          <w:spacing w:val="-5"/>
        </w:rPr>
        <w:t> </w:t>
      </w:r>
      <w:r>
        <w:rPr/>
        <w:t>par</w:t>
      </w:r>
      <w:r>
        <w:rPr>
          <w:spacing w:val="-1"/>
        </w:rPr>
        <w:t> </w:t>
      </w:r>
      <w:r>
        <w:rPr/>
        <w:t>Jérôme</w:t>
      </w:r>
      <w:r>
        <w:rPr>
          <w:spacing w:val="-3"/>
        </w:rPr>
        <w:t> </w:t>
      </w:r>
      <w:r>
        <w:rPr/>
        <w:t>Passa,</w:t>
      </w:r>
      <w:r>
        <w:rPr>
          <w:spacing w:val="-1"/>
        </w:rPr>
        <w:t> </w:t>
      </w:r>
      <w:r>
        <w:rPr/>
        <w:t>32 rue Fortuny,</w:t>
      </w:r>
      <w:r>
        <w:rPr>
          <w:spacing w:val="-1"/>
        </w:rPr>
        <w:t> </w:t>
      </w:r>
      <w:r>
        <w:rPr/>
        <w:t>75017</w:t>
      </w:r>
      <w:r>
        <w:rPr>
          <w:spacing w:val="-1"/>
        </w:rPr>
        <w:t> </w:t>
      </w:r>
      <w:r>
        <w:rPr/>
        <w:t>Paris </w:t>
      </w:r>
      <w:r>
        <w:rPr>
          <w:spacing w:val="-2"/>
        </w:rPr>
        <w:t>(France)</w:t>
      </w:r>
    </w:p>
    <w:p>
      <w:pPr>
        <w:pStyle w:val="BodyText"/>
        <w:spacing w:before="204"/>
      </w:pPr>
    </w:p>
    <w:p>
      <w:pPr>
        <w:pStyle w:val="BodyText"/>
        <w:ind w:left="2737" w:right="2738"/>
        <w:jc w:val="center"/>
      </w:pPr>
      <w:r>
        <w:rPr>
          <w:spacing w:val="-2"/>
        </w:rPr>
        <w:t>contre</w:t>
      </w:r>
    </w:p>
    <w:p>
      <w:pPr>
        <w:pStyle w:val="BodyText"/>
        <w:spacing w:before="157"/>
        <w:rPr>
          <w:sz w:val="20"/>
        </w:rPr>
      </w:pPr>
    </w:p>
    <w:tbl>
      <w:tblPr>
        <w:tblW w:w="0" w:type="auto"/>
        <w:jc w:val="left"/>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74"/>
        <w:gridCol w:w="4757"/>
      </w:tblGrid>
      <w:tr>
        <w:trPr>
          <w:trHeight w:val="285" w:hRule="atLeast"/>
        </w:trPr>
        <w:tc>
          <w:tcPr>
            <w:tcW w:w="4274" w:type="dxa"/>
          </w:tcPr>
          <w:p>
            <w:pPr>
              <w:pStyle w:val="TableParagraph"/>
              <w:spacing w:line="265" w:lineRule="exact"/>
              <w:ind w:left="50"/>
              <w:rPr>
                <w:b/>
                <w:sz w:val="24"/>
              </w:rPr>
            </w:pPr>
            <w:r>
              <w:rPr>
                <w:b/>
                <w:sz w:val="24"/>
              </w:rPr>
              <w:t>Simb</w:t>
            </w:r>
            <w:r>
              <w:rPr>
                <w:b/>
                <w:spacing w:val="-3"/>
                <w:sz w:val="24"/>
              </w:rPr>
              <w:t> </w:t>
            </w:r>
            <w:r>
              <w:rPr>
                <w:b/>
                <w:spacing w:val="-2"/>
                <w:sz w:val="24"/>
              </w:rPr>
              <w:t>d.o.o.</w:t>
            </w:r>
          </w:p>
        </w:tc>
        <w:tc>
          <w:tcPr>
            <w:tcW w:w="4757" w:type="dxa"/>
          </w:tcPr>
          <w:p>
            <w:pPr>
              <w:pStyle w:val="TableParagraph"/>
              <w:rPr>
                <w:sz w:val="20"/>
              </w:rPr>
            </w:pPr>
          </w:p>
        </w:tc>
      </w:tr>
      <w:tr>
        <w:trPr>
          <w:trHeight w:val="837" w:hRule="atLeast"/>
        </w:trPr>
        <w:tc>
          <w:tcPr>
            <w:tcW w:w="4274" w:type="dxa"/>
          </w:tcPr>
          <w:p>
            <w:pPr>
              <w:pStyle w:val="TableParagraph"/>
              <w:spacing w:line="270" w:lineRule="atLeast"/>
              <w:ind w:left="50" w:right="1862"/>
              <w:rPr>
                <w:sz w:val="24"/>
              </w:rPr>
            </w:pPr>
            <w:r>
              <w:rPr>
                <w:sz w:val="24"/>
              </w:rPr>
              <w:t>Šentvid pri Stični 14 1296</w:t>
            </w:r>
            <w:r>
              <w:rPr>
                <w:spacing w:val="-13"/>
                <w:sz w:val="24"/>
              </w:rPr>
              <w:t> </w:t>
            </w:r>
            <w:r>
              <w:rPr>
                <w:sz w:val="24"/>
              </w:rPr>
              <w:t>Šentvid</w:t>
            </w:r>
            <w:r>
              <w:rPr>
                <w:spacing w:val="-13"/>
                <w:sz w:val="24"/>
              </w:rPr>
              <w:t> </w:t>
            </w:r>
            <w:r>
              <w:rPr>
                <w:sz w:val="24"/>
              </w:rPr>
              <w:t>pri</w:t>
            </w:r>
            <w:r>
              <w:rPr>
                <w:spacing w:val="-13"/>
                <w:sz w:val="24"/>
              </w:rPr>
              <w:t> </w:t>
            </w:r>
            <w:r>
              <w:rPr>
                <w:sz w:val="24"/>
              </w:rPr>
              <w:t>Stični Si — Slovénie</w:t>
            </w:r>
          </w:p>
        </w:tc>
        <w:tc>
          <w:tcPr>
            <w:tcW w:w="4757" w:type="dxa"/>
          </w:tcPr>
          <w:p>
            <w:pPr>
              <w:pStyle w:val="TableParagraph"/>
              <w:rPr>
                <w:sz w:val="24"/>
              </w:rPr>
            </w:pPr>
          </w:p>
          <w:p>
            <w:pPr>
              <w:pStyle w:val="TableParagraph"/>
              <w:spacing w:before="9"/>
              <w:rPr>
                <w:sz w:val="24"/>
              </w:rPr>
            </w:pPr>
          </w:p>
          <w:p>
            <w:pPr>
              <w:pStyle w:val="TableParagraph"/>
              <w:spacing w:line="256" w:lineRule="exact"/>
              <w:ind w:left="2002"/>
              <w:rPr>
                <w:sz w:val="24"/>
              </w:rPr>
            </w:pPr>
            <w:r>
              <w:rPr>
                <w:spacing w:val="-2"/>
                <w:sz w:val="24"/>
              </w:rPr>
              <w:t>Demanderesse/défenderesse</w:t>
            </w:r>
          </w:p>
        </w:tc>
      </w:tr>
    </w:tbl>
    <w:p>
      <w:pPr>
        <w:pStyle w:val="BodyText"/>
        <w:spacing w:before="99"/>
      </w:pPr>
    </w:p>
    <w:p>
      <w:pPr>
        <w:pStyle w:val="BodyText"/>
        <w:ind w:left="165"/>
      </w:pPr>
      <w:r>
        <w:rPr/>
        <w:t>Recours</w:t>
      </w:r>
      <w:r>
        <w:rPr>
          <w:spacing w:val="-10"/>
        </w:rPr>
        <w:t> </w:t>
      </w:r>
      <w:r>
        <w:rPr/>
        <w:t>concernant</w:t>
      </w:r>
      <w:r>
        <w:rPr>
          <w:spacing w:val="-12"/>
        </w:rPr>
        <w:t> </w:t>
      </w:r>
      <w:r>
        <w:rPr/>
        <w:t>la</w:t>
      </w:r>
      <w:r>
        <w:rPr>
          <w:spacing w:val="-10"/>
        </w:rPr>
        <w:t> </w:t>
      </w:r>
      <w:r>
        <w:rPr/>
        <w:t>procédure</w:t>
      </w:r>
      <w:r>
        <w:rPr>
          <w:spacing w:val="-12"/>
        </w:rPr>
        <w:t> </w:t>
      </w:r>
      <w:r>
        <w:rPr/>
        <w:t>d’opposition</w:t>
      </w:r>
      <w:r>
        <w:rPr>
          <w:spacing w:val="-12"/>
        </w:rPr>
        <w:t> </w:t>
      </w:r>
      <w:r>
        <w:rPr/>
        <w:t>no</w:t>
      </w:r>
      <w:r>
        <w:rPr>
          <w:spacing w:val="-10"/>
        </w:rPr>
        <w:t> </w:t>
      </w:r>
      <w:r>
        <w:rPr/>
        <w:t>B</w:t>
      </w:r>
      <w:r>
        <w:rPr>
          <w:spacing w:val="-14"/>
        </w:rPr>
        <w:t> </w:t>
      </w:r>
      <w:r>
        <w:rPr/>
        <w:t>3</w:t>
      </w:r>
      <w:r>
        <w:rPr>
          <w:spacing w:val="-1"/>
        </w:rPr>
        <w:t> </w:t>
      </w:r>
      <w:r>
        <w:rPr/>
        <w:t>203</w:t>
      </w:r>
      <w:r>
        <w:rPr>
          <w:spacing w:val="-3"/>
        </w:rPr>
        <w:t> </w:t>
      </w:r>
      <w:r>
        <w:rPr/>
        <w:t>223</w:t>
      </w:r>
      <w:r>
        <w:rPr>
          <w:spacing w:val="-10"/>
        </w:rPr>
        <w:t> </w:t>
      </w:r>
      <w:r>
        <w:rPr/>
        <w:t>(demande</w:t>
      </w:r>
      <w:r>
        <w:rPr>
          <w:spacing w:val="-13"/>
        </w:rPr>
        <w:t> </w:t>
      </w:r>
      <w:r>
        <w:rPr/>
        <w:t>de</w:t>
      </w:r>
      <w:r>
        <w:rPr>
          <w:spacing w:val="-11"/>
        </w:rPr>
        <w:t> </w:t>
      </w:r>
      <w:r>
        <w:rPr/>
        <w:t>marque</w:t>
      </w:r>
      <w:r>
        <w:rPr>
          <w:spacing w:val="-11"/>
        </w:rPr>
        <w:t> </w:t>
      </w:r>
      <w:r>
        <w:rPr/>
        <w:t>de</w:t>
      </w:r>
      <w:r>
        <w:rPr>
          <w:spacing w:val="-13"/>
        </w:rPr>
        <w:t> </w:t>
      </w:r>
      <w:r>
        <w:rPr/>
        <w:t>l’Union européenne no 18 872 562)</w:t>
      </w:r>
    </w:p>
    <w:p>
      <w:pPr>
        <w:pStyle w:val="BodyText"/>
      </w:pPr>
    </w:p>
    <w:p>
      <w:pPr>
        <w:pStyle w:val="BodyText"/>
        <w:spacing w:before="168"/>
      </w:pPr>
    </w:p>
    <w:p>
      <w:pPr>
        <w:pStyle w:val="BodyText"/>
        <w:ind w:right="2"/>
        <w:jc w:val="center"/>
      </w:pPr>
      <w:r>
        <w:rPr/>
        <w:t>LA</w:t>
      </w:r>
      <w:r>
        <w:rPr>
          <w:spacing w:val="-2"/>
        </w:rPr>
        <w:t> </w:t>
      </w:r>
      <w:r>
        <w:rPr/>
        <w:t>CINQUIÈME</w:t>
      </w:r>
      <w:r>
        <w:rPr>
          <w:spacing w:val="-2"/>
        </w:rPr>
        <w:t> </w:t>
      </w:r>
      <w:r>
        <w:rPr/>
        <w:t>CHAMBRE</w:t>
      </w:r>
      <w:r>
        <w:rPr>
          <w:spacing w:val="-2"/>
        </w:rPr>
        <w:t> </w:t>
      </w:r>
      <w:r>
        <w:rPr/>
        <w:t>DE</w:t>
      </w:r>
      <w:r>
        <w:rPr>
          <w:spacing w:val="-1"/>
        </w:rPr>
        <w:t> </w:t>
      </w:r>
      <w:r>
        <w:rPr>
          <w:spacing w:val="-2"/>
        </w:rPr>
        <w:t>RECOURS</w:t>
      </w:r>
    </w:p>
    <w:p>
      <w:pPr>
        <w:pStyle w:val="BodyText"/>
        <w:spacing w:before="204"/>
      </w:pPr>
    </w:p>
    <w:p>
      <w:pPr>
        <w:pStyle w:val="BodyText"/>
        <w:ind w:left="165" w:right="164"/>
      </w:pPr>
      <w:r>
        <w:rPr/>
        <w:t>composée</w:t>
      </w:r>
      <w:r>
        <w:rPr>
          <w:spacing w:val="40"/>
        </w:rPr>
        <w:t> </w:t>
      </w:r>
      <w:r>
        <w:rPr/>
        <w:t>de</w:t>
      </w:r>
      <w:r>
        <w:rPr>
          <w:spacing w:val="40"/>
        </w:rPr>
        <w:t> </w:t>
      </w:r>
      <w:r>
        <w:rPr/>
        <w:t>V.</w:t>
      </w:r>
      <w:r>
        <w:rPr>
          <w:spacing w:val="40"/>
        </w:rPr>
        <w:t> </w:t>
      </w:r>
      <w:r>
        <w:rPr/>
        <w:t>Melgar</w:t>
      </w:r>
      <w:r>
        <w:rPr>
          <w:spacing w:val="40"/>
        </w:rPr>
        <w:t> </w:t>
      </w:r>
      <w:r>
        <w:rPr/>
        <w:t>(président</w:t>
      </w:r>
      <w:r>
        <w:rPr>
          <w:spacing w:val="40"/>
        </w:rPr>
        <w:t> </w:t>
      </w:r>
      <w:r>
        <w:rPr/>
        <w:t>et</w:t>
      </w:r>
      <w:r>
        <w:rPr>
          <w:spacing w:val="40"/>
        </w:rPr>
        <w:t> </w:t>
      </w:r>
      <w:r>
        <w:rPr/>
        <w:t>rapporteur),</w:t>
      </w:r>
      <w:r>
        <w:rPr>
          <w:spacing w:val="40"/>
        </w:rPr>
        <w:t> </w:t>
      </w:r>
      <w:r>
        <w:rPr/>
        <w:t>Ph.</w:t>
      </w:r>
      <w:r>
        <w:rPr>
          <w:spacing w:val="40"/>
        </w:rPr>
        <w:t> </w:t>
      </w:r>
      <w:r>
        <w:rPr/>
        <w:t>von</w:t>
      </w:r>
      <w:r>
        <w:rPr>
          <w:spacing w:val="40"/>
        </w:rPr>
        <w:t> </w:t>
      </w:r>
      <w:r>
        <w:rPr/>
        <w:t>Kapff</w:t>
      </w:r>
      <w:r>
        <w:rPr>
          <w:spacing w:val="40"/>
        </w:rPr>
        <w:t> </w:t>
      </w:r>
      <w:r>
        <w:rPr/>
        <w:t>(membre)</w:t>
      </w:r>
      <w:r>
        <w:rPr>
          <w:spacing w:val="40"/>
        </w:rPr>
        <w:t> </w:t>
      </w:r>
      <w:r>
        <w:rPr/>
        <w:t>et</w:t>
      </w:r>
      <w:r>
        <w:rPr>
          <w:spacing w:val="40"/>
        </w:rPr>
        <w:t> </w:t>
      </w:r>
      <w:r>
        <w:rPr/>
        <w:t>R.</w:t>
      </w:r>
      <w:r>
        <w:rPr>
          <w:spacing w:val="40"/>
        </w:rPr>
        <w:t> </w:t>
      </w:r>
      <w:r>
        <w:rPr/>
        <w:t>Ocquet </w:t>
      </w:r>
      <w:r>
        <w:rPr>
          <w:spacing w:val="-2"/>
        </w:rPr>
        <w:t>(membre)</w:t>
      </w:r>
    </w:p>
    <w:p>
      <w:pPr>
        <w:pStyle w:val="BodyText"/>
        <w:spacing w:before="204"/>
      </w:pPr>
    </w:p>
    <w:p>
      <w:pPr>
        <w:pStyle w:val="BodyText"/>
        <w:spacing w:line="657" w:lineRule="auto"/>
        <w:ind w:left="165" w:right="6799"/>
      </w:pPr>
      <w:r>
        <w:rPr/>
        <w:t>Greffier:</w:t>
      </w:r>
      <w:r>
        <w:rPr>
          <w:spacing w:val="-15"/>
        </w:rPr>
        <w:t> </w:t>
      </w:r>
      <w:r>
        <w:rPr/>
        <w:t>H.</w:t>
      </w:r>
      <w:r>
        <w:rPr>
          <w:spacing w:val="-15"/>
        </w:rPr>
        <w:t> </w:t>
      </w:r>
      <w:r>
        <w:rPr/>
        <w:t>Dijkema rend le présent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3"/>
        <w:rPr>
          <w:sz w:val="20"/>
        </w:rPr>
      </w:pPr>
      <w:r>
        <w:rPr>
          <w:sz w:val="20"/>
        </w:rPr>
        <mc:AlternateContent>
          <mc:Choice Requires="wps">
            <w:drawing>
              <wp:anchor distT="0" distB="0" distL="0" distR="0" allowOverlap="1" layoutInCell="1" locked="0" behindDoc="1" simplePos="0" relativeHeight="487588352">
                <wp:simplePos x="0" y="0"/>
                <wp:positionH relativeFrom="page">
                  <wp:posOffset>896416</wp:posOffset>
                </wp:positionH>
                <wp:positionV relativeFrom="paragraph">
                  <wp:posOffset>233049</wp:posOffset>
                </wp:positionV>
                <wp:extent cx="5769610" cy="9525"/>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5769610" cy="9525"/>
                        </a:xfrm>
                        <a:custGeom>
                          <a:avLst/>
                          <a:gdLst/>
                          <a:ahLst/>
                          <a:cxnLst/>
                          <a:rect l="l" t="t" r="r" b="b"/>
                          <a:pathLst>
                            <a:path w="5769610" h="9525">
                              <a:moveTo>
                                <a:pt x="5769229" y="0"/>
                              </a:moveTo>
                              <a:lnTo>
                                <a:pt x="0" y="0"/>
                              </a:lnTo>
                              <a:lnTo>
                                <a:pt x="0" y="9143"/>
                              </a:lnTo>
                              <a:lnTo>
                                <a:pt x="5769229" y="9143"/>
                              </a:lnTo>
                              <a:lnTo>
                                <a:pt x="5769229"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rect style="position:absolute;margin-left:70.584pt;margin-top:18.350367pt;width:454.27pt;height:.71997pt;mso-position-horizontal-relative:page;mso-position-vertical-relative:paragraph;z-index:-15728128;mso-wrap-distance-left:0;mso-wrap-distance-right:0" id="docshape3" filled="true" fillcolor="#585858" stroked="false">
                <v:fill type="solid"/>
                <w10:wrap type="topAndBottom"/>
              </v:rect>
            </w:pict>
          </mc:Fallback>
        </mc:AlternateContent>
      </w:r>
    </w:p>
    <w:p>
      <w:pPr>
        <w:spacing w:before="122"/>
        <w:ind w:left="165" w:right="0" w:firstLine="0"/>
        <w:jc w:val="left"/>
        <w:rPr>
          <w:sz w:val="18"/>
        </w:rPr>
      </w:pPr>
      <w:r>
        <w:rPr>
          <w:sz w:val="18"/>
        </w:rPr>
        <w:t>Langue</w:t>
      </w:r>
      <w:r>
        <w:rPr>
          <w:spacing w:val="-2"/>
          <w:sz w:val="18"/>
        </w:rPr>
        <w:t> </w:t>
      </w:r>
      <w:r>
        <w:rPr>
          <w:sz w:val="18"/>
        </w:rPr>
        <w:t>de</w:t>
      </w:r>
      <w:r>
        <w:rPr>
          <w:spacing w:val="-1"/>
          <w:sz w:val="18"/>
        </w:rPr>
        <w:t> </w:t>
      </w:r>
      <w:r>
        <w:rPr>
          <w:sz w:val="18"/>
        </w:rPr>
        <w:t>procédure: </w:t>
      </w:r>
      <w:r>
        <w:rPr>
          <w:spacing w:val="-2"/>
          <w:sz w:val="18"/>
        </w:rPr>
        <w:t>Anglais</w:t>
      </w:r>
    </w:p>
    <w:p>
      <w:pPr>
        <w:pStyle w:val="BodyText"/>
        <w:spacing w:before="33"/>
        <w:rPr>
          <w:sz w:val="18"/>
        </w:rPr>
      </w:pPr>
    </w:p>
    <w:p>
      <w:pPr>
        <w:spacing w:before="0"/>
        <w:ind w:left="2737" w:right="2738" w:firstLine="0"/>
        <w:jc w:val="center"/>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p>
      <w:pPr>
        <w:spacing w:after="0"/>
        <w:jc w:val="center"/>
        <w:rPr>
          <w:sz w:val="18"/>
        </w:rPr>
        <w:sectPr>
          <w:type w:val="continuous"/>
          <w:pgSz w:w="11910" w:h="16840"/>
          <w:pgMar w:top="820" w:bottom="280" w:left="1275" w:right="1275"/>
        </w:sectPr>
      </w:pPr>
    </w:p>
    <w:p>
      <w:pPr>
        <w:spacing w:before="249"/>
        <w:ind w:left="2738" w:right="2738" w:firstLine="0"/>
        <w:jc w:val="center"/>
        <w:rPr>
          <w:b/>
          <w:sz w:val="24"/>
        </w:rPr>
      </w:pPr>
      <w:r>
        <w:rPr>
          <w:b/>
          <w:sz w:val="24"/>
        </w:rPr>
        <mc:AlternateContent>
          <mc:Choice Requires="wps">
            <w:drawing>
              <wp:anchor distT="0" distB="0" distL="0" distR="0" allowOverlap="1" layoutInCell="1" locked="0" behindDoc="0" simplePos="0" relativeHeight="15730688">
                <wp:simplePos x="0" y="0"/>
                <wp:positionH relativeFrom="page">
                  <wp:posOffset>270575</wp:posOffset>
                </wp:positionH>
                <wp:positionV relativeFrom="page">
                  <wp:posOffset>1114363</wp:posOffset>
                </wp:positionV>
                <wp:extent cx="146050" cy="921004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46050" cy="9210040"/>
                        </a:xfrm>
                        <a:prstGeom prst="rect">
                          <a:avLst/>
                        </a:prstGeom>
                      </wps:spPr>
                      <wps:txbx>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wps:txbx>
                      <wps:bodyPr wrap="square" lIns="0" tIns="0" rIns="0" bIns="0" rtlCol="0" vert="vert270">
                        <a:noAutofit/>
                      </wps:bodyPr>
                    </wps:wsp>
                  </a:graphicData>
                </a:graphic>
              </wp:anchor>
            </w:drawing>
          </mc:Choice>
          <mc:Fallback>
            <w:pict>
              <v:shape style="position:absolute;margin-left:21.305176pt;margin-top:87.745193pt;width:11.5pt;height:725.2pt;mso-position-horizontal-relative:page;mso-position-vertical-relative:page;z-index:15730688" type="#_x0000_t202" id="docshape5" filled="false" stroked="false">
                <v:textbox inset="0,0,0,0" style="layout-flow:vertical;mso-layout-flow-alt:bottom-to-top">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v:textbox>
                <w10:wrap type="none"/>
              </v:shape>
            </w:pict>
          </mc:Fallback>
        </mc:AlternateContent>
      </w:r>
      <w:r>
        <w:rPr>
          <w:b/>
          <w:spacing w:val="-2"/>
          <w:sz w:val="24"/>
        </w:rPr>
        <w:t>Décision</w:t>
      </w:r>
    </w:p>
    <w:p>
      <w:pPr>
        <w:pStyle w:val="BodyText"/>
        <w:rPr>
          <w:b/>
        </w:rPr>
      </w:pPr>
    </w:p>
    <w:p>
      <w:pPr>
        <w:pStyle w:val="BodyText"/>
        <w:spacing w:before="103"/>
        <w:rPr>
          <w:b/>
        </w:rPr>
      </w:pPr>
    </w:p>
    <w:p>
      <w:pPr>
        <w:spacing w:before="0"/>
        <w:ind w:left="590" w:right="0" w:firstLine="0"/>
        <w:jc w:val="left"/>
        <w:rPr>
          <w:b/>
          <w:sz w:val="24"/>
        </w:rPr>
      </w:pPr>
      <w:r>
        <w:rPr>
          <w:b/>
          <w:sz w:val="24"/>
        </w:rPr>
        <w:t>Résumé</w:t>
      </w:r>
      <w:r>
        <w:rPr>
          <w:b/>
          <w:spacing w:val="-3"/>
          <w:sz w:val="24"/>
        </w:rPr>
        <w:t> </w:t>
      </w:r>
      <w:r>
        <w:rPr>
          <w:b/>
          <w:sz w:val="24"/>
        </w:rPr>
        <w:t>des</w:t>
      </w:r>
      <w:r>
        <w:rPr>
          <w:b/>
          <w:spacing w:val="-2"/>
          <w:sz w:val="24"/>
        </w:rPr>
        <w:t> faits</w:t>
      </w:r>
    </w:p>
    <w:p>
      <w:pPr>
        <w:pStyle w:val="ListParagraph"/>
        <w:numPr>
          <w:ilvl w:val="0"/>
          <w:numId w:val="1"/>
        </w:numPr>
        <w:tabs>
          <w:tab w:pos="590" w:val="left" w:leader="none"/>
        </w:tabs>
        <w:spacing w:line="240" w:lineRule="auto" w:before="240" w:after="0"/>
        <w:ind w:left="590" w:right="165" w:hanging="425"/>
        <w:jc w:val="left"/>
        <w:rPr>
          <w:sz w:val="24"/>
        </w:rPr>
      </w:pPr>
      <w:r>
        <w:rPr>
          <w:sz w:val="24"/>
        </w:rPr>
        <w:t>Par</w:t>
      </w:r>
      <w:r>
        <w:rPr>
          <w:spacing w:val="34"/>
          <w:sz w:val="24"/>
        </w:rPr>
        <w:t> </w:t>
      </w:r>
      <w:r>
        <w:rPr>
          <w:sz w:val="24"/>
        </w:rPr>
        <w:t>une</w:t>
      </w:r>
      <w:r>
        <w:rPr>
          <w:spacing w:val="34"/>
          <w:sz w:val="24"/>
        </w:rPr>
        <w:t> </w:t>
      </w:r>
      <w:r>
        <w:rPr>
          <w:sz w:val="24"/>
        </w:rPr>
        <w:t>demande</w:t>
      </w:r>
      <w:r>
        <w:rPr>
          <w:spacing w:val="33"/>
          <w:sz w:val="24"/>
        </w:rPr>
        <w:t> </w:t>
      </w:r>
      <w:r>
        <w:rPr>
          <w:sz w:val="24"/>
        </w:rPr>
        <w:t>déposée</w:t>
      </w:r>
      <w:r>
        <w:rPr>
          <w:spacing w:val="34"/>
          <w:sz w:val="24"/>
        </w:rPr>
        <w:t> </w:t>
      </w:r>
      <w:r>
        <w:rPr>
          <w:sz w:val="24"/>
        </w:rPr>
        <w:t>le</w:t>
      </w:r>
      <w:r>
        <w:rPr>
          <w:spacing w:val="34"/>
          <w:sz w:val="24"/>
        </w:rPr>
        <w:t> </w:t>
      </w:r>
      <w:r>
        <w:rPr>
          <w:sz w:val="24"/>
        </w:rPr>
        <w:t>9</w:t>
      </w:r>
      <w:r>
        <w:rPr>
          <w:spacing w:val="35"/>
          <w:sz w:val="24"/>
        </w:rPr>
        <w:t> </w:t>
      </w:r>
      <w:r>
        <w:rPr>
          <w:sz w:val="24"/>
        </w:rPr>
        <w:t>mai</w:t>
      </w:r>
      <w:r>
        <w:rPr>
          <w:spacing w:val="35"/>
          <w:sz w:val="24"/>
        </w:rPr>
        <w:t> </w:t>
      </w:r>
      <w:r>
        <w:rPr>
          <w:sz w:val="24"/>
        </w:rPr>
        <w:t>2023,</w:t>
      </w:r>
      <w:r>
        <w:rPr>
          <w:spacing w:val="35"/>
          <w:sz w:val="24"/>
        </w:rPr>
        <w:t> </w:t>
      </w:r>
      <w:r>
        <w:rPr>
          <w:sz w:val="24"/>
        </w:rPr>
        <w:t>Simb</w:t>
      </w:r>
      <w:r>
        <w:rPr>
          <w:spacing w:val="32"/>
          <w:sz w:val="24"/>
        </w:rPr>
        <w:t> </w:t>
      </w:r>
      <w:r>
        <w:rPr>
          <w:sz w:val="24"/>
        </w:rPr>
        <w:t>d.o.o.</w:t>
      </w:r>
      <w:r>
        <w:rPr>
          <w:spacing w:val="35"/>
          <w:sz w:val="24"/>
        </w:rPr>
        <w:t> </w:t>
      </w:r>
      <w:r>
        <w:rPr>
          <w:sz w:val="24"/>
        </w:rPr>
        <w:t>(ci-après</w:t>
      </w:r>
      <w:r>
        <w:rPr>
          <w:spacing w:val="35"/>
          <w:sz w:val="24"/>
        </w:rPr>
        <w:t> </w:t>
      </w:r>
      <w:r>
        <w:rPr>
          <w:sz w:val="24"/>
        </w:rPr>
        <w:t>la</w:t>
      </w:r>
      <w:r>
        <w:rPr>
          <w:spacing w:val="39"/>
          <w:sz w:val="24"/>
        </w:rPr>
        <w:t> </w:t>
      </w:r>
      <w:r>
        <w:rPr>
          <w:sz w:val="24"/>
        </w:rPr>
        <w:t>«demanderesse»)</w:t>
      </w:r>
      <w:r>
        <w:rPr>
          <w:spacing w:val="36"/>
          <w:sz w:val="24"/>
        </w:rPr>
        <w:t> </w:t>
      </w:r>
      <w:r>
        <w:rPr>
          <w:sz w:val="24"/>
        </w:rPr>
        <w:t>a sollicité l’enregistrement du signe figuratif</w:t>
      </w:r>
    </w:p>
    <w:p>
      <w:pPr>
        <w:pStyle w:val="BodyText"/>
        <w:spacing w:before="10"/>
        <w:rPr>
          <w:sz w:val="18"/>
        </w:rPr>
      </w:pPr>
      <w:r>
        <w:rPr>
          <w:sz w:val="18"/>
        </w:rPr>
        <w:drawing>
          <wp:anchor distT="0" distB="0" distL="0" distR="0" allowOverlap="1" layoutInCell="1" locked="0" behindDoc="1" simplePos="0" relativeHeight="487589376">
            <wp:simplePos x="0" y="0"/>
            <wp:positionH relativeFrom="page">
              <wp:posOffset>3512439</wp:posOffset>
            </wp:positionH>
            <wp:positionV relativeFrom="paragraph">
              <wp:posOffset>153042</wp:posOffset>
            </wp:positionV>
            <wp:extent cx="782844" cy="1170431"/>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7" cstate="print"/>
                    <a:stretch>
                      <a:fillRect/>
                    </a:stretch>
                  </pic:blipFill>
                  <pic:spPr>
                    <a:xfrm>
                      <a:off x="0" y="0"/>
                      <a:ext cx="782844" cy="1170431"/>
                    </a:xfrm>
                    <a:prstGeom prst="rect">
                      <a:avLst/>
                    </a:prstGeom>
                  </pic:spPr>
                </pic:pic>
              </a:graphicData>
            </a:graphic>
          </wp:anchor>
        </w:drawing>
      </w:r>
    </w:p>
    <w:p>
      <w:pPr>
        <w:pStyle w:val="BodyText"/>
        <w:spacing w:before="247"/>
      </w:pPr>
    </w:p>
    <w:p>
      <w:pPr>
        <w:pStyle w:val="BodyText"/>
        <w:ind w:left="734"/>
        <w:jc w:val="both"/>
      </w:pPr>
      <w:r>
        <w:rPr/>
        <w:t>en</w:t>
      </w:r>
      <w:r>
        <w:rPr>
          <w:spacing w:val="-3"/>
        </w:rPr>
        <w:t> </w:t>
      </w:r>
      <w:r>
        <w:rPr/>
        <w:t>tant que</w:t>
      </w:r>
      <w:r>
        <w:rPr>
          <w:spacing w:val="-1"/>
        </w:rPr>
        <w:t> </w:t>
      </w:r>
      <w:r>
        <w:rPr/>
        <w:t>marque</w:t>
      </w:r>
      <w:r>
        <w:rPr>
          <w:spacing w:val="-1"/>
        </w:rPr>
        <w:t> </w:t>
      </w:r>
      <w:r>
        <w:rPr/>
        <w:t>de</w:t>
      </w:r>
      <w:r>
        <w:rPr>
          <w:spacing w:val="-1"/>
        </w:rPr>
        <w:t> </w:t>
      </w:r>
      <w:r>
        <w:rPr/>
        <w:t>l’Union européenne</w:t>
      </w:r>
      <w:r>
        <w:rPr>
          <w:spacing w:val="-1"/>
        </w:rPr>
        <w:t> </w:t>
      </w:r>
      <w:r>
        <w:rPr/>
        <w:t>pour</w:t>
      </w:r>
      <w:r>
        <w:rPr>
          <w:spacing w:val="-1"/>
        </w:rPr>
        <w:t> </w:t>
      </w:r>
      <w:r>
        <w:rPr/>
        <w:t>la</w:t>
      </w:r>
      <w:r>
        <w:rPr>
          <w:spacing w:val="-1"/>
        </w:rPr>
        <w:t> </w:t>
      </w:r>
      <w:r>
        <w:rPr/>
        <w:t>liste de</w:t>
      </w:r>
      <w:r>
        <w:rPr>
          <w:spacing w:val="-2"/>
        </w:rPr>
        <w:t> </w:t>
      </w:r>
      <w:r>
        <w:rPr/>
        <w:t>produits</w:t>
      </w:r>
      <w:r>
        <w:rPr>
          <w:spacing w:val="-1"/>
        </w:rPr>
        <w:t> </w:t>
      </w:r>
      <w:r>
        <w:rPr>
          <w:spacing w:val="-2"/>
        </w:rPr>
        <w:t>suivante:</w:t>
      </w:r>
    </w:p>
    <w:p>
      <w:pPr>
        <w:spacing w:line="240" w:lineRule="auto" w:before="240"/>
        <w:ind w:left="734" w:right="160" w:firstLine="0"/>
        <w:jc w:val="both"/>
        <w:rPr>
          <w:i/>
          <w:sz w:val="24"/>
        </w:rPr>
      </w:pPr>
      <w:r>
        <w:rPr>
          <w:sz w:val="24"/>
        </w:rPr>
        <w:t>Classe 3:</w:t>
      </w:r>
      <w:r>
        <w:rPr>
          <w:spacing w:val="-2"/>
          <w:sz w:val="24"/>
        </w:rPr>
        <w:t> </w:t>
      </w:r>
      <w:r>
        <w:rPr>
          <w:i/>
          <w:sz w:val="24"/>
        </w:rPr>
        <w:t>Durcisseurs d’ongles; Base de vernis à ongles; Produits de conditionnement pour les ongles; Vernis à ongles; Paillettes pour ongles; Vernis de finition pour les ongles; Autocollants de stylisme ongulaire; Pointes d’ongles; Dissolvants pour ongles gel;</w:t>
      </w:r>
      <w:r>
        <w:rPr>
          <w:i/>
          <w:spacing w:val="-3"/>
          <w:sz w:val="24"/>
        </w:rPr>
        <w:t> </w:t>
      </w:r>
      <w:r>
        <w:rPr>
          <w:i/>
          <w:sz w:val="24"/>
        </w:rPr>
        <w:t>Base</w:t>
      </w:r>
      <w:r>
        <w:rPr>
          <w:i/>
          <w:spacing w:val="-5"/>
          <w:sz w:val="24"/>
        </w:rPr>
        <w:t> </w:t>
      </w:r>
      <w:r>
        <w:rPr>
          <w:i/>
          <w:sz w:val="24"/>
        </w:rPr>
        <w:t>de</w:t>
      </w:r>
      <w:r>
        <w:rPr>
          <w:i/>
          <w:spacing w:val="-4"/>
          <w:sz w:val="24"/>
        </w:rPr>
        <w:t> </w:t>
      </w:r>
      <w:r>
        <w:rPr>
          <w:i/>
          <w:sz w:val="24"/>
        </w:rPr>
        <w:t>coat</w:t>
      </w:r>
      <w:r>
        <w:rPr>
          <w:i/>
          <w:spacing w:val="-3"/>
          <w:sz w:val="24"/>
        </w:rPr>
        <w:t> </w:t>
      </w:r>
      <w:r>
        <w:rPr>
          <w:i/>
          <w:sz w:val="24"/>
        </w:rPr>
        <w:t>des</w:t>
      </w:r>
      <w:r>
        <w:rPr>
          <w:i/>
          <w:spacing w:val="-3"/>
          <w:sz w:val="24"/>
        </w:rPr>
        <w:t> </w:t>
      </w:r>
      <w:r>
        <w:rPr>
          <w:i/>
          <w:sz w:val="24"/>
        </w:rPr>
        <w:t>ongles</w:t>
      </w:r>
      <w:r>
        <w:rPr>
          <w:i/>
          <w:spacing w:val="-3"/>
          <w:sz w:val="24"/>
        </w:rPr>
        <w:t> </w:t>
      </w:r>
      <w:r>
        <w:rPr>
          <w:i/>
          <w:sz w:val="24"/>
        </w:rPr>
        <w:t>voudrait;</w:t>
      </w:r>
      <w:r>
        <w:rPr>
          <w:i/>
          <w:spacing w:val="-3"/>
          <w:sz w:val="24"/>
        </w:rPr>
        <w:t> </w:t>
      </w:r>
      <w:r>
        <w:rPr>
          <w:i/>
          <w:sz w:val="24"/>
        </w:rPr>
        <w:t>Crèmes</w:t>
      </w:r>
      <w:r>
        <w:rPr>
          <w:i/>
          <w:spacing w:val="-1"/>
          <w:sz w:val="24"/>
        </w:rPr>
        <w:t> </w:t>
      </w:r>
      <w:r>
        <w:rPr>
          <w:i/>
          <w:sz w:val="24"/>
        </w:rPr>
        <w:t>de</w:t>
      </w:r>
      <w:r>
        <w:rPr>
          <w:i/>
          <w:spacing w:val="-2"/>
          <w:sz w:val="24"/>
        </w:rPr>
        <w:t> </w:t>
      </w:r>
      <w:r>
        <w:rPr>
          <w:i/>
          <w:sz w:val="24"/>
        </w:rPr>
        <w:t>douche;</w:t>
      </w:r>
      <w:r>
        <w:rPr>
          <w:i/>
          <w:spacing w:val="-2"/>
          <w:sz w:val="24"/>
        </w:rPr>
        <w:t> </w:t>
      </w:r>
      <w:r>
        <w:rPr>
          <w:i/>
          <w:sz w:val="24"/>
        </w:rPr>
        <w:t>Crèmes</w:t>
      </w:r>
      <w:r>
        <w:rPr>
          <w:i/>
          <w:spacing w:val="-3"/>
          <w:sz w:val="24"/>
        </w:rPr>
        <w:t> </w:t>
      </w:r>
      <w:r>
        <w:rPr>
          <w:i/>
          <w:sz w:val="24"/>
        </w:rPr>
        <w:t>hydratantes;</w:t>
      </w:r>
      <w:r>
        <w:rPr>
          <w:i/>
          <w:spacing w:val="-4"/>
          <w:sz w:val="24"/>
        </w:rPr>
        <w:t> </w:t>
      </w:r>
      <w:r>
        <w:rPr>
          <w:i/>
          <w:sz w:val="24"/>
        </w:rPr>
        <w:t>Crèmes cosmétiques; Crèmes antifreckles; Crèmes parfumées; Crèmes de soins; Crèmes bronzantes;</w:t>
      </w:r>
      <w:r>
        <w:rPr>
          <w:i/>
          <w:spacing w:val="-15"/>
          <w:sz w:val="24"/>
        </w:rPr>
        <w:t> </w:t>
      </w:r>
      <w:r>
        <w:rPr>
          <w:i/>
          <w:sz w:val="24"/>
        </w:rPr>
        <w:t>Crèmes</w:t>
      </w:r>
      <w:r>
        <w:rPr>
          <w:i/>
          <w:spacing w:val="-15"/>
          <w:sz w:val="24"/>
        </w:rPr>
        <w:t> </w:t>
      </w:r>
      <w:r>
        <w:rPr>
          <w:i/>
          <w:sz w:val="24"/>
        </w:rPr>
        <w:t>dépilatoires;</w:t>
      </w:r>
      <w:r>
        <w:rPr>
          <w:i/>
          <w:spacing w:val="-15"/>
          <w:sz w:val="24"/>
        </w:rPr>
        <w:t> </w:t>
      </w:r>
      <w:r>
        <w:rPr>
          <w:i/>
          <w:sz w:val="24"/>
        </w:rPr>
        <w:t>Crèmes</w:t>
      </w:r>
      <w:r>
        <w:rPr>
          <w:i/>
          <w:spacing w:val="-15"/>
          <w:sz w:val="24"/>
        </w:rPr>
        <w:t> </w:t>
      </w:r>
      <w:r>
        <w:rPr>
          <w:i/>
          <w:sz w:val="24"/>
        </w:rPr>
        <w:t>pour</w:t>
      </w:r>
      <w:r>
        <w:rPr>
          <w:i/>
          <w:spacing w:val="-15"/>
          <w:sz w:val="24"/>
        </w:rPr>
        <w:t> </w:t>
      </w:r>
      <w:r>
        <w:rPr>
          <w:i/>
          <w:sz w:val="24"/>
        </w:rPr>
        <w:t>la</w:t>
      </w:r>
      <w:r>
        <w:rPr>
          <w:i/>
          <w:spacing w:val="-15"/>
          <w:sz w:val="24"/>
        </w:rPr>
        <w:t> </w:t>
      </w:r>
      <w:r>
        <w:rPr>
          <w:i/>
          <w:sz w:val="24"/>
        </w:rPr>
        <w:t>réduction</w:t>
      </w:r>
      <w:r>
        <w:rPr>
          <w:i/>
          <w:spacing w:val="-15"/>
          <w:sz w:val="24"/>
        </w:rPr>
        <w:t> </w:t>
      </w:r>
      <w:r>
        <w:rPr>
          <w:i/>
          <w:sz w:val="24"/>
        </w:rPr>
        <w:t>de</w:t>
      </w:r>
      <w:r>
        <w:rPr>
          <w:i/>
          <w:spacing w:val="-15"/>
          <w:sz w:val="24"/>
        </w:rPr>
        <w:t> </w:t>
      </w:r>
      <w:r>
        <w:rPr>
          <w:i/>
          <w:sz w:val="24"/>
        </w:rPr>
        <w:t>la</w:t>
      </w:r>
      <w:r>
        <w:rPr>
          <w:i/>
          <w:spacing w:val="-15"/>
          <w:sz w:val="24"/>
        </w:rPr>
        <w:t> </w:t>
      </w:r>
      <w:r>
        <w:rPr>
          <w:i/>
          <w:sz w:val="24"/>
        </w:rPr>
        <w:t>cellulite;</w:t>
      </w:r>
      <w:r>
        <w:rPr>
          <w:i/>
          <w:spacing w:val="-15"/>
          <w:sz w:val="24"/>
        </w:rPr>
        <w:t> </w:t>
      </w:r>
      <w:r>
        <w:rPr>
          <w:i/>
          <w:sz w:val="24"/>
        </w:rPr>
        <w:t>Produits</w:t>
      </w:r>
      <w:r>
        <w:rPr>
          <w:i/>
          <w:spacing w:val="-15"/>
          <w:sz w:val="24"/>
        </w:rPr>
        <w:t> </w:t>
      </w:r>
      <w:r>
        <w:rPr>
          <w:i/>
          <w:sz w:val="24"/>
        </w:rPr>
        <w:t>pour la microdermabrasion; Mousses destinées à la douche; Mousse nettoyante; Mousse nettoyante; Bains moussants; Après-shampooings; Produits pour enlever les </w:t>
      </w:r>
      <w:r>
        <w:rPr>
          <w:i/>
          <w:sz w:val="24"/>
        </w:rPr>
        <w:t>cuticules; Assouplisseurs</w:t>
      </w:r>
      <w:r>
        <w:rPr>
          <w:i/>
          <w:spacing w:val="-3"/>
          <w:sz w:val="24"/>
        </w:rPr>
        <w:t> </w:t>
      </w:r>
      <w:r>
        <w:rPr>
          <w:i/>
          <w:sz w:val="24"/>
        </w:rPr>
        <w:t>pour</w:t>
      </w:r>
      <w:r>
        <w:rPr>
          <w:i/>
          <w:spacing w:val="-3"/>
          <w:sz w:val="24"/>
        </w:rPr>
        <w:t> </w:t>
      </w:r>
      <w:r>
        <w:rPr>
          <w:i/>
          <w:sz w:val="24"/>
        </w:rPr>
        <w:t>cuticules;</w:t>
      </w:r>
      <w:r>
        <w:rPr>
          <w:i/>
          <w:spacing w:val="-4"/>
          <w:sz w:val="24"/>
        </w:rPr>
        <w:t> </w:t>
      </w:r>
      <w:r>
        <w:rPr>
          <w:i/>
          <w:sz w:val="24"/>
        </w:rPr>
        <w:t>Produits</w:t>
      </w:r>
      <w:r>
        <w:rPr>
          <w:i/>
          <w:spacing w:val="-3"/>
          <w:sz w:val="24"/>
        </w:rPr>
        <w:t> </w:t>
      </w:r>
      <w:r>
        <w:rPr>
          <w:i/>
          <w:sz w:val="24"/>
        </w:rPr>
        <w:t>pour</w:t>
      </w:r>
      <w:r>
        <w:rPr>
          <w:i/>
          <w:spacing w:val="-3"/>
          <w:sz w:val="24"/>
        </w:rPr>
        <w:t> </w:t>
      </w:r>
      <w:r>
        <w:rPr>
          <w:i/>
          <w:sz w:val="24"/>
        </w:rPr>
        <w:t>blanchir</w:t>
      </w:r>
      <w:r>
        <w:rPr>
          <w:i/>
          <w:spacing w:val="-3"/>
          <w:sz w:val="24"/>
        </w:rPr>
        <w:t> </w:t>
      </w:r>
      <w:r>
        <w:rPr>
          <w:i/>
          <w:sz w:val="24"/>
        </w:rPr>
        <w:t>les</w:t>
      </w:r>
      <w:r>
        <w:rPr>
          <w:i/>
          <w:spacing w:val="-3"/>
          <w:sz w:val="24"/>
        </w:rPr>
        <w:t> </w:t>
      </w:r>
      <w:r>
        <w:rPr>
          <w:i/>
          <w:sz w:val="24"/>
        </w:rPr>
        <w:t>ongles;</w:t>
      </w:r>
      <w:r>
        <w:rPr>
          <w:i/>
          <w:spacing w:val="-3"/>
          <w:sz w:val="24"/>
        </w:rPr>
        <w:t> </w:t>
      </w:r>
      <w:r>
        <w:rPr>
          <w:i/>
          <w:sz w:val="24"/>
        </w:rPr>
        <w:t>Colles</w:t>
      </w:r>
      <w:r>
        <w:rPr>
          <w:i/>
          <w:spacing w:val="-3"/>
          <w:sz w:val="24"/>
        </w:rPr>
        <w:t> </w:t>
      </w:r>
      <w:r>
        <w:rPr>
          <w:i/>
          <w:sz w:val="24"/>
        </w:rPr>
        <w:t>pour</w:t>
      </w:r>
      <w:r>
        <w:rPr>
          <w:i/>
          <w:spacing w:val="-3"/>
          <w:sz w:val="24"/>
        </w:rPr>
        <w:t> </w:t>
      </w:r>
      <w:r>
        <w:rPr>
          <w:i/>
          <w:sz w:val="24"/>
        </w:rPr>
        <w:t>renforcer les ongles; Lotions pour renforcer les ongles; Revêtements de sculptures pour ongles; Préparations pour renforcer les ongles; Adhésifs pour fixer des ongles artificiels; Préparations</w:t>
      </w:r>
      <w:r>
        <w:rPr>
          <w:i/>
          <w:spacing w:val="-3"/>
          <w:sz w:val="24"/>
        </w:rPr>
        <w:t> </w:t>
      </w:r>
      <w:r>
        <w:rPr>
          <w:i/>
          <w:sz w:val="24"/>
        </w:rPr>
        <w:t>cosmétiques</w:t>
      </w:r>
      <w:r>
        <w:rPr>
          <w:i/>
          <w:spacing w:val="-3"/>
          <w:sz w:val="24"/>
        </w:rPr>
        <w:t> </w:t>
      </w:r>
      <w:r>
        <w:rPr>
          <w:i/>
          <w:sz w:val="24"/>
        </w:rPr>
        <w:t>pour</w:t>
      </w:r>
      <w:r>
        <w:rPr>
          <w:i/>
          <w:spacing w:val="-3"/>
          <w:sz w:val="24"/>
        </w:rPr>
        <w:t> </w:t>
      </w:r>
      <w:r>
        <w:rPr>
          <w:i/>
          <w:sz w:val="24"/>
        </w:rPr>
        <w:t>le</w:t>
      </w:r>
      <w:r>
        <w:rPr>
          <w:i/>
          <w:spacing w:val="-4"/>
          <w:sz w:val="24"/>
        </w:rPr>
        <w:t> </w:t>
      </w:r>
      <w:r>
        <w:rPr>
          <w:i/>
          <w:sz w:val="24"/>
        </w:rPr>
        <w:t>séchage</w:t>
      </w:r>
      <w:r>
        <w:rPr>
          <w:i/>
          <w:spacing w:val="-4"/>
          <w:sz w:val="24"/>
        </w:rPr>
        <w:t> </w:t>
      </w:r>
      <w:r>
        <w:rPr>
          <w:i/>
          <w:sz w:val="24"/>
        </w:rPr>
        <w:t>des</w:t>
      </w:r>
      <w:r>
        <w:rPr>
          <w:i/>
          <w:spacing w:val="-3"/>
          <w:sz w:val="24"/>
        </w:rPr>
        <w:t> </w:t>
      </w:r>
      <w:r>
        <w:rPr>
          <w:i/>
          <w:sz w:val="24"/>
        </w:rPr>
        <w:t>ongles;</w:t>
      </w:r>
      <w:r>
        <w:rPr>
          <w:i/>
          <w:spacing w:val="-4"/>
          <w:sz w:val="24"/>
        </w:rPr>
        <w:t> </w:t>
      </w:r>
      <w:r>
        <w:rPr>
          <w:i/>
          <w:sz w:val="24"/>
        </w:rPr>
        <w:t>Produits</w:t>
      </w:r>
      <w:r>
        <w:rPr>
          <w:i/>
          <w:spacing w:val="-3"/>
          <w:sz w:val="24"/>
        </w:rPr>
        <w:t> </w:t>
      </w:r>
      <w:r>
        <w:rPr>
          <w:i/>
          <w:sz w:val="24"/>
        </w:rPr>
        <w:t>de</w:t>
      </w:r>
      <w:r>
        <w:rPr>
          <w:i/>
          <w:spacing w:val="-4"/>
          <w:sz w:val="24"/>
        </w:rPr>
        <w:t> </w:t>
      </w:r>
      <w:r>
        <w:rPr>
          <w:i/>
          <w:sz w:val="24"/>
        </w:rPr>
        <w:t>pédicure;</w:t>
      </w:r>
      <w:r>
        <w:rPr>
          <w:i/>
          <w:spacing w:val="-3"/>
          <w:sz w:val="24"/>
        </w:rPr>
        <w:t> </w:t>
      </w:r>
      <w:r>
        <w:rPr>
          <w:i/>
          <w:sz w:val="24"/>
        </w:rPr>
        <w:t>Crèmes</w:t>
      </w:r>
      <w:r>
        <w:rPr>
          <w:i/>
          <w:spacing w:val="-3"/>
          <w:sz w:val="24"/>
        </w:rPr>
        <w:t> </w:t>
      </w:r>
      <w:r>
        <w:rPr>
          <w:i/>
          <w:sz w:val="24"/>
        </w:rPr>
        <w:t>de soin pour la peau autres qu’à usage médical; Déodorants pour pieds; Lotions de protection</w:t>
      </w:r>
      <w:r>
        <w:rPr>
          <w:i/>
          <w:spacing w:val="-15"/>
          <w:sz w:val="24"/>
        </w:rPr>
        <w:t> </w:t>
      </w:r>
      <w:r>
        <w:rPr>
          <w:i/>
          <w:sz w:val="24"/>
        </w:rPr>
        <w:t>solaire;</w:t>
      </w:r>
      <w:r>
        <w:rPr>
          <w:i/>
          <w:spacing w:val="-15"/>
          <w:sz w:val="24"/>
        </w:rPr>
        <w:t> </w:t>
      </w:r>
      <w:r>
        <w:rPr>
          <w:i/>
          <w:sz w:val="24"/>
        </w:rPr>
        <w:t>Vaporisateurs</w:t>
      </w:r>
      <w:r>
        <w:rPr>
          <w:i/>
          <w:spacing w:val="-15"/>
          <w:sz w:val="24"/>
        </w:rPr>
        <w:t> </w:t>
      </w:r>
      <w:r>
        <w:rPr>
          <w:i/>
          <w:sz w:val="24"/>
        </w:rPr>
        <w:t>de</w:t>
      </w:r>
      <w:r>
        <w:rPr>
          <w:i/>
          <w:spacing w:val="-15"/>
          <w:sz w:val="24"/>
        </w:rPr>
        <w:t> </w:t>
      </w:r>
      <w:r>
        <w:rPr>
          <w:i/>
          <w:sz w:val="24"/>
        </w:rPr>
        <w:t>nettoyage;</w:t>
      </w:r>
      <w:r>
        <w:rPr>
          <w:i/>
          <w:spacing w:val="-15"/>
          <w:sz w:val="24"/>
        </w:rPr>
        <w:t> </w:t>
      </w:r>
      <w:r>
        <w:rPr>
          <w:i/>
          <w:sz w:val="24"/>
        </w:rPr>
        <w:t>Substances</w:t>
      </w:r>
      <w:r>
        <w:rPr>
          <w:i/>
          <w:spacing w:val="-15"/>
          <w:sz w:val="24"/>
        </w:rPr>
        <w:t> </w:t>
      </w:r>
      <w:r>
        <w:rPr>
          <w:i/>
          <w:sz w:val="24"/>
        </w:rPr>
        <w:t>à</w:t>
      </w:r>
      <w:r>
        <w:rPr>
          <w:i/>
          <w:spacing w:val="-15"/>
          <w:sz w:val="24"/>
        </w:rPr>
        <w:t> </w:t>
      </w:r>
      <w:r>
        <w:rPr>
          <w:i/>
          <w:sz w:val="24"/>
        </w:rPr>
        <w:t>récurer;</w:t>
      </w:r>
      <w:r>
        <w:rPr>
          <w:i/>
          <w:spacing w:val="-15"/>
          <w:sz w:val="24"/>
        </w:rPr>
        <w:t> </w:t>
      </w:r>
      <w:r>
        <w:rPr>
          <w:i/>
          <w:sz w:val="24"/>
        </w:rPr>
        <w:t>Exfoliants;</w:t>
      </w:r>
      <w:r>
        <w:rPr>
          <w:i/>
          <w:spacing w:val="-15"/>
          <w:sz w:val="24"/>
        </w:rPr>
        <w:t> </w:t>
      </w:r>
      <w:r>
        <w:rPr>
          <w:i/>
          <w:sz w:val="24"/>
        </w:rPr>
        <w:t>Grains pour le polissage; Gommage de gel; Crèmes exfoliantes; Exfoliants pour les pieds; Exfoliants</w:t>
      </w:r>
      <w:r>
        <w:rPr>
          <w:i/>
          <w:spacing w:val="-6"/>
          <w:sz w:val="24"/>
        </w:rPr>
        <w:t> </w:t>
      </w:r>
      <w:r>
        <w:rPr>
          <w:i/>
          <w:sz w:val="24"/>
        </w:rPr>
        <w:t>pour</w:t>
      </w:r>
      <w:r>
        <w:rPr>
          <w:i/>
          <w:spacing w:val="-6"/>
          <w:sz w:val="24"/>
        </w:rPr>
        <w:t> </w:t>
      </w:r>
      <w:r>
        <w:rPr>
          <w:i/>
          <w:sz w:val="24"/>
        </w:rPr>
        <w:t>le</w:t>
      </w:r>
      <w:r>
        <w:rPr>
          <w:i/>
          <w:spacing w:val="-6"/>
          <w:sz w:val="24"/>
        </w:rPr>
        <w:t> </w:t>
      </w:r>
      <w:r>
        <w:rPr>
          <w:i/>
          <w:sz w:val="24"/>
        </w:rPr>
        <w:t>visage</w:t>
      </w:r>
      <w:r>
        <w:rPr>
          <w:i/>
          <w:spacing w:val="-8"/>
          <w:sz w:val="24"/>
        </w:rPr>
        <w:t> </w:t>
      </w:r>
      <w:r>
        <w:rPr>
          <w:i/>
          <w:sz w:val="24"/>
        </w:rPr>
        <w:t>autres</w:t>
      </w:r>
      <w:r>
        <w:rPr>
          <w:i/>
          <w:spacing w:val="-6"/>
          <w:sz w:val="24"/>
        </w:rPr>
        <w:t> </w:t>
      </w:r>
      <w:r>
        <w:rPr>
          <w:i/>
          <w:sz w:val="24"/>
        </w:rPr>
        <w:t>qu’à</w:t>
      </w:r>
      <w:r>
        <w:rPr>
          <w:i/>
          <w:spacing w:val="-7"/>
          <w:sz w:val="24"/>
        </w:rPr>
        <w:t> </w:t>
      </w:r>
      <w:r>
        <w:rPr>
          <w:i/>
          <w:sz w:val="24"/>
        </w:rPr>
        <w:t>usage</w:t>
      </w:r>
      <w:r>
        <w:rPr>
          <w:i/>
          <w:spacing w:val="-7"/>
          <w:sz w:val="24"/>
        </w:rPr>
        <w:t> </w:t>
      </w:r>
      <w:r>
        <w:rPr>
          <w:i/>
          <w:sz w:val="24"/>
        </w:rPr>
        <w:t>médical;</w:t>
      </w:r>
      <w:r>
        <w:rPr>
          <w:i/>
          <w:spacing w:val="-6"/>
          <w:sz w:val="24"/>
        </w:rPr>
        <w:t> </w:t>
      </w:r>
      <w:r>
        <w:rPr>
          <w:i/>
          <w:sz w:val="24"/>
        </w:rPr>
        <w:t>Exfoliants</w:t>
      </w:r>
      <w:r>
        <w:rPr>
          <w:i/>
          <w:spacing w:val="-6"/>
          <w:sz w:val="24"/>
        </w:rPr>
        <w:t> </w:t>
      </w:r>
      <w:r>
        <w:rPr>
          <w:i/>
          <w:sz w:val="24"/>
        </w:rPr>
        <w:t>pour</w:t>
      </w:r>
      <w:r>
        <w:rPr>
          <w:i/>
          <w:spacing w:val="-6"/>
          <w:sz w:val="24"/>
        </w:rPr>
        <w:t> </w:t>
      </w:r>
      <w:r>
        <w:rPr>
          <w:i/>
          <w:sz w:val="24"/>
        </w:rPr>
        <w:t>le</w:t>
      </w:r>
      <w:r>
        <w:rPr>
          <w:i/>
          <w:spacing w:val="-6"/>
          <w:sz w:val="24"/>
        </w:rPr>
        <w:t> </w:t>
      </w:r>
      <w:r>
        <w:rPr>
          <w:i/>
          <w:sz w:val="24"/>
        </w:rPr>
        <w:t>visage;</w:t>
      </w:r>
      <w:r>
        <w:rPr>
          <w:i/>
          <w:spacing w:val="-7"/>
          <w:sz w:val="24"/>
        </w:rPr>
        <w:t> </w:t>
      </w:r>
      <w:r>
        <w:rPr>
          <w:i/>
          <w:sz w:val="24"/>
        </w:rPr>
        <w:t>Produits de levage pour le corps; Préparations de peles pour le visage à usage cosmétique; Exfoliants</w:t>
      </w:r>
      <w:r>
        <w:rPr>
          <w:i/>
          <w:spacing w:val="-10"/>
          <w:sz w:val="24"/>
        </w:rPr>
        <w:t> </w:t>
      </w:r>
      <w:r>
        <w:rPr>
          <w:i/>
          <w:sz w:val="24"/>
        </w:rPr>
        <w:t>pour</w:t>
      </w:r>
      <w:r>
        <w:rPr>
          <w:i/>
          <w:spacing w:val="-10"/>
          <w:sz w:val="24"/>
        </w:rPr>
        <w:t> </w:t>
      </w:r>
      <w:r>
        <w:rPr>
          <w:i/>
          <w:sz w:val="24"/>
        </w:rPr>
        <w:t>le</w:t>
      </w:r>
      <w:r>
        <w:rPr>
          <w:i/>
          <w:spacing w:val="-11"/>
          <w:sz w:val="24"/>
        </w:rPr>
        <w:t> </w:t>
      </w:r>
      <w:r>
        <w:rPr>
          <w:i/>
          <w:sz w:val="24"/>
        </w:rPr>
        <w:t>nettoyage</w:t>
      </w:r>
      <w:r>
        <w:rPr>
          <w:i/>
          <w:spacing w:val="-12"/>
          <w:sz w:val="24"/>
        </w:rPr>
        <w:t> </w:t>
      </w:r>
      <w:r>
        <w:rPr>
          <w:i/>
          <w:sz w:val="24"/>
        </w:rPr>
        <w:t>de</w:t>
      </w:r>
      <w:r>
        <w:rPr>
          <w:i/>
          <w:spacing w:val="-12"/>
          <w:sz w:val="24"/>
        </w:rPr>
        <w:t> </w:t>
      </w:r>
      <w:r>
        <w:rPr>
          <w:i/>
          <w:sz w:val="24"/>
        </w:rPr>
        <w:t>la</w:t>
      </w:r>
      <w:r>
        <w:rPr>
          <w:i/>
          <w:spacing w:val="-10"/>
          <w:sz w:val="24"/>
        </w:rPr>
        <w:t> </w:t>
      </w:r>
      <w:r>
        <w:rPr>
          <w:i/>
          <w:sz w:val="24"/>
        </w:rPr>
        <w:t>peau;</w:t>
      </w:r>
      <w:r>
        <w:rPr>
          <w:i/>
          <w:spacing w:val="-11"/>
          <w:sz w:val="24"/>
        </w:rPr>
        <w:t> </w:t>
      </w:r>
      <w:r>
        <w:rPr>
          <w:i/>
          <w:sz w:val="24"/>
        </w:rPr>
        <w:t>Crèmes,</w:t>
      </w:r>
      <w:r>
        <w:rPr>
          <w:i/>
          <w:spacing w:val="-10"/>
          <w:sz w:val="24"/>
        </w:rPr>
        <w:t> </w:t>
      </w:r>
      <w:r>
        <w:rPr>
          <w:i/>
          <w:sz w:val="24"/>
        </w:rPr>
        <w:t>lotions</w:t>
      </w:r>
      <w:r>
        <w:rPr>
          <w:i/>
          <w:spacing w:val="-10"/>
          <w:sz w:val="24"/>
        </w:rPr>
        <w:t> </w:t>
      </w:r>
      <w:r>
        <w:rPr>
          <w:i/>
          <w:sz w:val="24"/>
        </w:rPr>
        <w:t>et</w:t>
      </w:r>
      <w:r>
        <w:rPr>
          <w:i/>
          <w:spacing w:val="-10"/>
          <w:sz w:val="24"/>
        </w:rPr>
        <w:t> </w:t>
      </w:r>
      <w:r>
        <w:rPr>
          <w:i/>
          <w:sz w:val="24"/>
        </w:rPr>
        <w:t>gels</w:t>
      </w:r>
      <w:r>
        <w:rPr>
          <w:i/>
          <w:spacing w:val="-10"/>
          <w:sz w:val="24"/>
        </w:rPr>
        <w:t> </w:t>
      </w:r>
      <w:r>
        <w:rPr>
          <w:i/>
          <w:sz w:val="24"/>
        </w:rPr>
        <w:t>hydratants;</w:t>
      </w:r>
      <w:r>
        <w:rPr>
          <w:i/>
          <w:spacing w:val="-13"/>
          <w:sz w:val="24"/>
        </w:rPr>
        <w:t> </w:t>
      </w:r>
      <w:r>
        <w:rPr>
          <w:i/>
          <w:sz w:val="24"/>
        </w:rPr>
        <w:t>Cosmétiques sous forme de gels; Après-shampooings; Émulsions adoucissantes pour la peau; Émulsions pour le visage; Sourcils (cosmétiques pour les -); Cosmétiques de couleur; Crèmes autobronzantes oublier cosmétiques; Lotions et crèmes cosmétiques; Cosmétiques colorants pour enfants; Tonics légers cossais; Crèmes tonifiantes correspondaient à un usage cosmétique; Crèmes cosmétiques nourrissantes; Cosmétiques pour cils; Lotions autobronzantes interviendra cosmétique; Poudriers cosmetières;</w:t>
      </w:r>
      <w:r>
        <w:rPr>
          <w:i/>
          <w:spacing w:val="-15"/>
          <w:sz w:val="24"/>
        </w:rPr>
        <w:t> </w:t>
      </w:r>
      <w:r>
        <w:rPr>
          <w:i/>
          <w:sz w:val="24"/>
        </w:rPr>
        <w:t>Rouges</w:t>
      </w:r>
      <w:r>
        <w:rPr>
          <w:i/>
          <w:spacing w:val="-15"/>
          <w:sz w:val="24"/>
        </w:rPr>
        <w:t> </w:t>
      </w:r>
      <w:r>
        <w:rPr>
          <w:i/>
          <w:sz w:val="24"/>
        </w:rPr>
        <w:t>à</w:t>
      </w:r>
      <w:r>
        <w:rPr>
          <w:i/>
          <w:spacing w:val="-15"/>
          <w:sz w:val="24"/>
        </w:rPr>
        <w:t> </w:t>
      </w:r>
      <w:r>
        <w:rPr>
          <w:i/>
          <w:sz w:val="24"/>
        </w:rPr>
        <w:t>usage</w:t>
      </w:r>
      <w:r>
        <w:rPr>
          <w:i/>
          <w:spacing w:val="-15"/>
          <w:sz w:val="24"/>
        </w:rPr>
        <w:t> </w:t>
      </w:r>
      <w:r>
        <w:rPr>
          <w:i/>
          <w:sz w:val="24"/>
        </w:rPr>
        <w:t>cosmétique;</w:t>
      </w:r>
      <w:r>
        <w:rPr>
          <w:i/>
          <w:spacing w:val="-15"/>
          <w:sz w:val="24"/>
        </w:rPr>
        <w:t> </w:t>
      </w:r>
      <w:r>
        <w:rPr>
          <w:i/>
          <w:sz w:val="24"/>
        </w:rPr>
        <w:t>Cosmétiques;</w:t>
      </w:r>
      <w:r>
        <w:rPr>
          <w:i/>
          <w:spacing w:val="-15"/>
          <w:sz w:val="24"/>
        </w:rPr>
        <w:t> </w:t>
      </w:r>
      <w:r>
        <w:rPr>
          <w:i/>
          <w:sz w:val="24"/>
        </w:rPr>
        <w:t>Lotions</w:t>
      </w:r>
      <w:r>
        <w:rPr>
          <w:i/>
          <w:spacing w:val="-15"/>
          <w:sz w:val="24"/>
        </w:rPr>
        <w:t> </w:t>
      </w:r>
      <w:r>
        <w:rPr>
          <w:i/>
          <w:sz w:val="24"/>
        </w:rPr>
        <w:t>pour</w:t>
      </w:r>
      <w:r>
        <w:rPr>
          <w:i/>
          <w:spacing w:val="-15"/>
          <w:sz w:val="24"/>
        </w:rPr>
        <w:t> </w:t>
      </w:r>
      <w:r>
        <w:rPr>
          <w:i/>
          <w:sz w:val="24"/>
        </w:rPr>
        <w:t>les</w:t>
      </w:r>
      <w:r>
        <w:rPr>
          <w:i/>
          <w:spacing w:val="-15"/>
          <w:sz w:val="24"/>
        </w:rPr>
        <w:t> </w:t>
      </w:r>
      <w:r>
        <w:rPr>
          <w:i/>
          <w:sz w:val="24"/>
        </w:rPr>
        <w:t>mains;</w:t>
      </w:r>
      <w:r>
        <w:rPr>
          <w:i/>
          <w:spacing w:val="-15"/>
          <w:sz w:val="24"/>
        </w:rPr>
        <w:t> </w:t>
      </w:r>
      <w:r>
        <w:rPr>
          <w:i/>
          <w:sz w:val="24"/>
        </w:rPr>
        <w:t>Produits nettoyants pour les mains; Poudres pour les mains; Agents nettoyants pour les mains; Sérums de beauté; Sérums à usage cosmétique; Sérum anti-âge à usage cosmétique; Sérum</w:t>
      </w:r>
      <w:r>
        <w:rPr>
          <w:i/>
          <w:spacing w:val="-10"/>
          <w:sz w:val="24"/>
        </w:rPr>
        <w:t> </w:t>
      </w:r>
      <w:r>
        <w:rPr>
          <w:i/>
          <w:sz w:val="24"/>
        </w:rPr>
        <w:t>pour</w:t>
      </w:r>
      <w:r>
        <w:rPr>
          <w:i/>
          <w:spacing w:val="-9"/>
          <w:sz w:val="24"/>
        </w:rPr>
        <w:t> </w:t>
      </w:r>
      <w:r>
        <w:rPr>
          <w:i/>
          <w:sz w:val="24"/>
        </w:rPr>
        <w:t>le</w:t>
      </w:r>
      <w:r>
        <w:rPr>
          <w:i/>
          <w:spacing w:val="-10"/>
          <w:sz w:val="24"/>
        </w:rPr>
        <w:t> </w:t>
      </w:r>
      <w:r>
        <w:rPr>
          <w:i/>
          <w:sz w:val="24"/>
        </w:rPr>
        <w:t>visage</w:t>
      </w:r>
      <w:r>
        <w:rPr>
          <w:i/>
          <w:spacing w:val="-10"/>
          <w:sz w:val="24"/>
        </w:rPr>
        <w:t> </w:t>
      </w:r>
      <w:r>
        <w:rPr>
          <w:i/>
          <w:sz w:val="24"/>
        </w:rPr>
        <w:t>à</w:t>
      </w:r>
      <w:r>
        <w:rPr>
          <w:i/>
          <w:spacing w:val="-10"/>
          <w:sz w:val="24"/>
        </w:rPr>
        <w:t> </w:t>
      </w:r>
      <w:r>
        <w:rPr>
          <w:i/>
          <w:sz w:val="24"/>
        </w:rPr>
        <w:t>usage</w:t>
      </w:r>
      <w:r>
        <w:rPr>
          <w:i/>
          <w:spacing w:val="-11"/>
          <w:sz w:val="24"/>
        </w:rPr>
        <w:t> </w:t>
      </w:r>
      <w:r>
        <w:rPr>
          <w:i/>
          <w:sz w:val="24"/>
        </w:rPr>
        <w:t>cosmétique;</w:t>
      </w:r>
      <w:r>
        <w:rPr>
          <w:i/>
          <w:spacing w:val="-10"/>
          <w:sz w:val="24"/>
        </w:rPr>
        <w:t> </w:t>
      </w:r>
      <w:r>
        <w:rPr>
          <w:i/>
          <w:sz w:val="24"/>
        </w:rPr>
        <w:t>Sérum</w:t>
      </w:r>
      <w:r>
        <w:rPr>
          <w:i/>
          <w:spacing w:val="-10"/>
          <w:sz w:val="24"/>
        </w:rPr>
        <w:t> </w:t>
      </w:r>
      <w:r>
        <w:rPr>
          <w:i/>
          <w:sz w:val="24"/>
        </w:rPr>
        <w:t>artificiel</w:t>
      </w:r>
      <w:r>
        <w:rPr>
          <w:i/>
          <w:spacing w:val="-10"/>
          <w:sz w:val="24"/>
        </w:rPr>
        <w:t> </w:t>
      </w:r>
      <w:r>
        <w:rPr>
          <w:i/>
          <w:sz w:val="24"/>
        </w:rPr>
        <w:t>pour</w:t>
      </w:r>
      <w:r>
        <w:rPr>
          <w:i/>
          <w:spacing w:val="-9"/>
          <w:sz w:val="24"/>
        </w:rPr>
        <w:t> </w:t>
      </w:r>
      <w:r>
        <w:rPr>
          <w:i/>
          <w:sz w:val="24"/>
        </w:rPr>
        <w:t>soulager</w:t>
      </w:r>
      <w:r>
        <w:rPr>
          <w:i/>
          <w:spacing w:val="-9"/>
          <w:sz w:val="24"/>
        </w:rPr>
        <w:t> </w:t>
      </w:r>
      <w:r>
        <w:rPr>
          <w:i/>
          <w:sz w:val="24"/>
        </w:rPr>
        <w:t>la</w:t>
      </w:r>
      <w:r>
        <w:rPr>
          <w:i/>
          <w:spacing w:val="-12"/>
          <w:sz w:val="24"/>
        </w:rPr>
        <w:t> </w:t>
      </w:r>
      <w:r>
        <w:rPr>
          <w:i/>
          <w:sz w:val="24"/>
        </w:rPr>
        <w:t>peau;</w:t>
      </w:r>
      <w:r>
        <w:rPr>
          <w:i/>
          <w:spacing w:val="-10"/>
          <w:sz w:val="24"/>
        </w:rPr>
        <w:t> </w:t>
      </w:r>
      <w:r>
        <w:rPr>
          <w:i/>
          <w:sz w:val="24"/>
        </w:rPr>
        <w:t>Sérum calmant la peau; Sérums non médicinaux pour la peau; Serviettes imprégnées d’huiles essentielles à usage cosmétique; Huiles cosmétiques pour l’épiderme; Huiles essentielles; Baignoires; Savon de bain à usage cosmétique; Huiles de bain à usage cosmétique;</w:t>
      </w:r>
      <w:r>
        <w:rPr>
          <w:i/>
          <w:spacing w:val="29"/>
          <w:sz w:val="24"/>
        </w:rPr>
        <w:t> </w:t>
      </w:r>
      <w:r>
        <w:rPr>
          <w:i/>
          <w:sz w:val="24"/>
        </w:rPr>
        <w:t>Bain</w:t>
      </w:r>
      <w:r>
        <w:rPr>
          <w:i/>
          <w:spacing w:val="33"/>
          <w:sz w:val="24"/>
        </w:rPr>
        <w:t> </w:t>
      </w:r>
      <w:r>
        <w:rPr>
          <w:i/>
          <w:sz w:val="24"/>
        </w:rPr>
        <w:t>moussant;</w:t>
      </w:r>
      <w:r>
        <w:rPr>
          <w:i/>
          <w:spacing w:val="33"/>
          <w:sz w:val="24"/>
        </w:rPr>
        <w:t> </w:t>
      </w:r>
      <w:r>
        <w:rPr>
          <w:i/>
          <w:sz w:val="24"/>
        </w:rPr>
        <w:t>Flocons</w:t>
      </w:r>
      <w:r>
        <w:rPr>
          <w:i/>
          <w:spacing w:val="33"/>
          <w:sz w:val="24"/>
        </w:rPr>
        <w:t> </w:t>
      </w:r>
      <w:r>
        <w:rPr>
          <w:i/>
          <w:sz w:val="24"/>
        </w:rPr>
        <w:t>de</w:t>
      </w:r>
      <w:r>
        <w:rPr>
          <w:i/>
          <w:spacing w:val="32"/>
          <w:sz w:val="24"/>
        </w:rPr>
        <w:t> </w:t>
      </w:r>
      <w:r>
        <w:rPr>
          <w:i/>
          <w:sz w:val="24"/>
        </w:rPr>
        <w:t>bain;</w:t>
      </w:r>
      <w:r>
        <w:rPr>
          <w:i/>
          <w:spacing w:val="33"/>
          <w:sz w:val="24"/>
        </w:rPr>
        <w:t> </w:t>
      </w:r>
      <w:r>
        <w:rPr>
          <w:i/>
          <w:sz w:val="24"/>
        </w:rPr>
        <w:t>Splash</w:t>
      </w:r>
      <w:r>
        <w:rPr>
          <w:i/>
          <w:spacing w:val="32"/>
          <w:sz w:val="24"/>
        </w:rPr>
        <w:t> </w:t>
      </w:r>
      <w:r>
        <w:rPr>
          <w:i/>
          <w:sz w:val="24"/>
        </w:rPr>
        <w:t>pour</w:t>
      </w:r>
      <w:r>
        <w:rPr>
          <w:i/>
          <w:spacing w:val="33"/>
          <w:sz w:val="24"/>
        </w:rPr>
        <w:t> </w:t>
      </w:r>
      <w:r>
        <w:rPr>
          <w:i/>
          <w:sz w:val="24"/>
        </w:rPr>
        <w:t>le</w:t>
      </w:r>
      <w:r>
        <w:rPr>
          <w:i/>
          <w:spacing w:val="32"/>
          <w:sz w:val="24"/>
        </w:rPr>
        <w:t> </w:t>
      </w:r>
      <w:r>
        <w:rPr>
          <w:i/>
          <w:sz w:val="24"/>
        </w:rPr>
        <w:t>corps;</w:t>
      </w:r>
      <w:r>
        <w:rPr>
          <w:i/>
          <w:spacing w:val="33"/>
          <w:sz w:val="24"/>
        </w:rPr>
        <w:t> </w:t>
      </w:r>
      <w:r>
        <w:rPr>
          <w:i/>
          <w:sz w:val="24"/>
        </w:rPr>
        <w:t>Lotions</w:t>
      </w:r>
      <w:r>
        <w:rPr>
          <w:i/>
          <w:spacing w:val="33"/>
          <w:sz w:val="24"/>
        </w:rPr>
        <w:t> </w:t>
      </w:r>
      <w:r>
        <w:rPr>
          <w:i/>
          <w:sz w:val="24"/>
        </w:rPr>
        <w:t>pour</w:t>
      </w:r>
      <w:r>
        <w:rPr>
          <w:i/>
          <w:spacing w:val="33"/>
          <w:sz w:val="24"/>
        </w:rPr>
        <w:t> </w:t>
      </w:r>
      <w:r>
        <w:rPr>
          <w:i/>
          <w:spacing w:val="-5"/>
          <w:sz w:val="24"/>
        </w:rPr>
        <w:t>le</w:t>
      </w:r>
    </w:p>
    <w:p>
      <w:pPr>
        <w:pStyle w:val="BodyText"/>
        <w:spacing w:before="194"/>
        <w:rPr>
          <w:i/>
          <w:sz w:val="18"/>
        </w:rPr>
      </w:pPr>
    </w:p>
    <w:p>
      <w:pPr>
        <w:spacing w:before="1"/>
        <w:ind w:left="2737" w:right="2738" w:firstLine="0"/>
        <w:jc w:val="center"/>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p>
      <w:pPr>
        <w:spacing w:after="0"/>
        <w:jc w:val="center"/>
        <w:rPr>
          <w:sz w:val="18"/>
        </w:rPr>
        <w:sectPr>
          <w:headerReference w:type="default" r:id="rId6"/>
          <w:pgSz w:w="11910" w:h="16840"/>
          <w:pgMar w:header="970" w:footer="0" w:top="1180" w:bottom="280" w:left="1275" w:right="1275"/>
          <w:pgNumType w:start="2"/>
        </w:sectPr>
      </w:pPr>
    </w:p>
    <w:p>
      <w:pPr>
        <w:spacing w:before="249"/>
        <w:ind w:left="734" w:right="163" w:firstLine="0"/>
        <w:jc w:val="both"/>
        <w:rPr>
          <w:i/>
          <w:sz w:val="24"/>
        </w:rPr>
      </w:pPr>
      <w:r>
        <w:rPr>
          <w:i/>
          <w:sz w:val="24"/>
        </w:rPr>
        <mc:AlternateContent>
          <mc:Choice Requires="wps">
            <w:drawing>
              <wp:anchor distT="0" distB="0" distL="0" distR="0" allowOverlap="1" layoutInCell="1" locked="0" behindDoc="0" simplePos="0" relativeHeight="15731712">
                <wp:simplePos x="0" y="0"/>
                <wp:positionH relativeFrom="page">
                  <wp:posOffset>270575</wp:posOffset>
                </wp:positionH>
                <wp:positionV relativeFrom="page">
                  <wp:posOffset>1114363</wp:posOffset>
                </wp:positionV>
                <wp:extent cx="146050" cy="921004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46050" cy="9210040"/>
                        </a:xfrm>
                        <a:prstGeom prst="rect">
                          <a:avLst/>
                        </a:prstGeom>
                      </wps:spPr>
                      <wps:txbx>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wps:txbx>
                      <wps:bodyPr wrap="square" lIns="0" tIns="0" rIns="0" bIns="0" rtlCol="0" vert="vert270">
                        <a:noAutofit/>
                      </wps:bodyPr>
                    </wps:wsp>
                  </a:graphicData>
                </a:graphic>
              </wp:anchor>
            </w:drawing>
          </mc:Choice>
          <mc:Fallback>
            <w:pict>
              <v:shape style="position:absolute;margin-left:21.305176pt;margin-top:87.745193pt;width:11.5pt;height:725.2pt;mso-position-horizontal-relative:page;mso-position-vertical-relative:page;z-index:15731712" type="#_x0000_t202" id="docshape6" filled="false" stroked="false">
                <v:textbox inset="0,0,0,0" style="layout-flow:vertical;mso-layout-flow-alt:bottom-to-top">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v:textbox>
                <w10:wrap type="none"/>
              </v:shape>
            </w:pict>
          </mc:Fallback>
        </mc:AlternateContent>
      </w:r>
      <w:r>
        <w:rPr>
          <w:i/>
          <w:sz w:val="24"/>
        </w:rPr>
        <w:t>corps; Émulsions pour le corps; Paillettes pour le corps; Fluides effervescents pour le corps; Lotions parfumées pour le corps; Hydratants pour le corps; Crèmes pour les mains; Crèmes pour les mains à usage cosmétique; Lotions pour les mains autres qu’à usage médical; Sérum anti-âge.</w:t>
      </w:r>
    </w:p>
    <w:p>
      <w:pPr>
        <w:pStyle w:val="ListParagraph"/>
        <w:numPr>
          <w:ilvl w:val="0"/>
          <w:numId w:val="1"/>
        </w:numPr>
        <w:tabs>
          <w:tab w:pos="590" w:val="left" w:leader="none"/>
        </w:tabs>
        <w:spacing w:line="240" w:lineRule="auto" w:before="240" w:after="0"/>
        <w:ind w:left="590" w:right="0" w:hanging="425"/>
        <w:jc w:val="left"/>
        <w:rPr>
          <w:sz w:val="24"/>
        </w:rPr>
      </w:pPr>
      <w:r>
        <w:rPr>
          <w:sz w:val="24"/>
        </w:rPr>
        <w:t>La</w:t>
      </w:r>
      <w:r>
        <w:rPr>
          <w:spacing w:val="-2"/>
          <w:sz w:val="24"/>
        </w:rPr>
        <w:t> </w:t>
      </w:r>
      <w:r>
        <w:rPr>
          <w:sz w:val="24"/>
        </w:rPr>
        <w:t>demande a</w:t>
      </w:r>
      <w:r>
        <w:rPr>
          <w:spacing w:val="-1"/>
          <w:sz w:val="24"/>
        </w:rPr>
        <w:t> </w:t>
      </w:r>
      <w:r>
        <w:rPr>
          <w:sz w:val="24"/>
        </w:rPr>
        <w:t>été publiée</w:t>
      </w:r>
      <w:r>
        <w:rPr>
          <w:spacing w:val="2"/>
          <w:sz w:val="24"/>
        </w:rPr>
        <w:t> </w:t>
      </w:r>
      <w:r>
        <w:rPr>
          <w:sz w:val="24"/>
        </w:rPr>
        <w:t>le 14 juin </w:t>
      </w:r>
      <w:r>
        <w:rPr>
          <w:spacing w:val="-2"/>
          <w:sz w:val="24"/>
        </w:rPr>
        <w:t>2023.</w:t>
      </w:r>
    </w:p>
    <w:p>
      <w:pPr>
        <w:pStyle w:val="ListParagraph"/>
        <w:numPr>
          <w:ilvl w:val="0"/>
          <w:numId w:val="1"/>
        </w:numPr>
        <w:tabs>
          <w:tab w:pos="590" w:val="left" w:leader="none"/>
        </w:tabs>
        <w:spacing w:line="240" w:lineRule="auto" w:before="240" w:after="0"/>
        <w:ind w:left="590" w:right="163" w:hanging="425"/>
        <w:jc w:val="both"/>
        <w:rPr>
          <w:sz w:val="24"/>
        </w:rPr>
      </w:pPr>
      <w:r>
        <w:rPr>
          <w:sz w:val="24"/>
        </w:rPr>
        <w:t>Le 13 septembre 2023, Chanel (ci-après l’ «opposante») a formé opposition contre l’enregistrement de la demande de marque publiée pour tous les produits précités.</w:t>
      </w:r>
    </w:p>
    <w:p>
      <w:pPr>
        <w:pStyle w:val="ListParagraph"/>
        <w:numPr>
          <w:ilvl w:val="0"/>
          <w:numId w:val="1"/>
        </w:numPr>
        <w:tabs>
          <w:tab w:pos="590" w:val="left" w:leader="none"/>
        </w:tabs>
        <w:spacing w:line="240" w:lineRule="auto" w:before="240" w:after="0"/>
        <w:ind w:left="590" w:right="158" w:hanging="425"/>
        <w:jc w:val="both"/>
        <w:rPr>
          <w:sz w:val="24"/>
        </w:rPr>
      </w:pPr>
      <w:r>
        <w:rPr>
          <w:sz w:val="24"/>
        </w:rPr>
        <w:t>Les motifs de l’opposition étaient ceux énoncés à l’article</w:t>
      </w:r>
      <w:r>
        <w:rPr>
          <w:spacing w:val="-1"/>
          <w:sz w:val="24"/>
        </w:rPr>
        <w:t> </w:t>
      </w:r>
      <w:r>
        <w:rPr>
          <w:sz w:val="24"/>
        </w:rPr>
        <w:t>8, paragraphe</w:t>
      </w:r>
      <w:r>
        <w:rPr>
          <w:spacing w:val="-1"/>
          <w:sz w:val="24"/>
        </w:rPr>
        <w:t> </w:t>
      </w:r>
      <w:r>
        <w:rPr>
          <w:sz w:val="24"/>
        </w:rPr>
        <w:t>1, point</w:t>
      </w:r>
      <w:r>
        <w:rPr>
          <w:spacing w:val="-2"/>
          <w:sz w:val="24"/>
        </w:rPr>
        <w:t> </w:t>
      </w:r>
      <w:r>
        <w:rPr>
          <w:sz w:val="24"/>
        </w:rPr>
        <w:t>b), du </w:t>
      </w:r>
      <w:r>
        <w:rPr>
          <w:spacing w:val="-2"/>
          <w:sz w:val="24"/>
        </w:rPr>
        <w:t>RMUE.</w:t>
      </w:r>
    </w:p>
    <w:p>
      <w:pPr>
        <w:pStyle w:val="ListParagraph"/>
        <w:numPr>
          <w:ilvl w:val="0"/>
          <w:numId w:val="1"/>
        </w:numPr>
        <w:tabs>
          <w:tab w:pos="590" w:val="left" w:leader="none"/>
        </w:tabs>
        <w:spacing w:line="240" w:lineRule="auto" w:before="240" w:after="0"/>
        <w:ind w:left="590" w:right="0" w:hanging="425"/>
        <w:jc w:val="left"/>
        <w:rPr>
          <w:sz w:val="24"/>
        </w:rPr>
      </w:pPr>
      <w:r>
        <w:rPr>
          <w:sz w:val="24"/>
        </w:rPr>
        <w:t>L’opposition</w:t>
      </w:r>
      <w:r>
        <w:rPr>
          <w:spacing w:val="-4"/>
          <w:sz w:val="24"/>
        </w:rPr>
        <w:t> </w:t>
      </w:r>
      <w:r>
        <w:rPr>
          <w:sz w:val="24"/>
        </w:rPr>
        <w:t>était</w:t>
      </w:r>
      <w:r>
        <w:rPr>
          <w:spacing w:val="-2"/>
          <w:sz w:val="24"/>
        </w:rPr>
        <w:t> </w:t>
      </w:r>
      <w:r>
        <w:rPr>
          <w:sz w:val="24"/>
        </w:rPr>
        <w:t>fondée</w:t>
      </w:r>
      <w:r>
        <w:rPr>
          <w:spacing w:val="-2"/>
          <w:sz w:val="24"/>
        </w:rPr>
        <w:t> </w:t>
      </w:r>
      <w:r>
        <w:rPr>
          <w:sz w:val="24"/>
        </w:rPr>
        <w:t>sur</w:t>
      </w:r>
      <w:r>
        <w:rPr>
          <w:spacing w:val="-2"/>
          <w:sz w:val="24"/>
        </w:rPr>
        <w:t> </w:t>
      </w:r>
      <w:r>
        <w:rPr>
          <w:sz w:val="24"/>
        </w:rPr>
        <w:t>les</w:t>
      </w:r>
      <w:r>
        <w:rPr>
          <w:spacing w:val="-2"/>
          <w:sz w:val="24"/>
        </w:rPr>
        <w:t> </w:t>
      </w:r>
      <w:r>
        <w:rPr>
          <w:sz w:val="24"/>
        </w:rPr>
        <w:t>deux</w:t>
      </w:r>
      <w:r>
        <w:rPr>
          <w:spacing w:val="-1"/>
          <w:sz w:val="24"/>
        </w:rPr>
        <w:t> </w:t>
      </w:r>
      <w:r>
        <w:rPr>
          <w:sz w:val="24"/>
        </w:rPr>
        <w:t>droits</w:t>
      </w:r>
      <w:r>
        <w:rPr>
          <w:spacing w:val="-3"/>
          <w:sz w:val="24"/>
        </w:rPr>
        <w:t> </w:t>
      </w:r>
      <w:r>
        <w:rPr>
          <w:sz w:val="24"/>
        </w:rPr>
        <w:t>antérieurs</w:t>
      </w:r>
      <w:r>
        <w:rPr>
          <w:spacing w:val="-2"/>
          <w:sz w:val="24"/>
        </w:rPr>
        <w:t> suivants:</w:t>
      </w:r>
    </w:p>
    <w:p>
      <w:pPr>
        <w:pStyle w:val="ListParagraph"/>
        <w:numPr>
          <w:ilvl w:val="1"/>
          <w:numId w:val="1"/>
        </w:numPr>
        <w:tabs>
          <w:tab w:pos="949" w:val="left" w:leader="none"/>
        </w:tabs>
        <w:spacing w:line="240" w:lineRule="auto" w:before="241" w:after="0"/>
        <w:ind w:left="949" w:right="0" w:hanging="359"/>
        <w:jc w:val="left"/>
        <w:rPr>
          <w:sz w:val="24"/>
        </w:rPr>
      </w:pPr>
      <w:r>
        <w:rPr>
          <w:sz w:val="24"/>
        </w:rPr>
        <w:t>Enregistrement</w:t>
      </w:r>
      <w:r>
        <w:rPr>
          <w:spacing w:val="-3"/>
          <w:sz w:val="24"/>
        </w:rPr>
        <w:t> </w:t>
      </w:r>
      <w:r>
        <w:rPr>
          <w:sz w:val="24"/>
        </w:rPr>
        <w:t>de</w:t>
      </w:r>
      <w:r>
        <w:rPr>
          <w:spacing w:val="-2"/>
          <w:sz w:val="24"/>
        </w:rPr>
        <w:t> </w:t>
      </w:r>
      <w:r>
        <w:rPr>
          <w:sz w:val="24"/>
        </w:rPr>
        <w:t>la</w:t>
      </w:r>
      <w:r>
        <w:rPr>
          <w:spacing w:val="-2"/>
          <w:sz w:val="24"/>
        </w:rPr>
        <w:t> </w:t>
      </w:r>
      <w:r>
        <w:rPr>
          <w:sz w:val="24"/>
        </w:rPr>
        <w:t>marque</w:t>
      </w:r>
      <w:r>
        <w:rPr>
          <w:spacing w:val="-1"/>
          <w:sz w:val="24"/>
        </w:rPr>
        <w:t> </w:t>
      </w:r>
      <w:r>
        <w:rPr>
          <w:sz w:val="24"/>
        </w:rPr>
        <w:t>française</w:t>
      </w:r>
      <w:r>
        <w:rPr>
          <w:spacing w:val="-1"/>
          <w:sz w:val="24"/>
        </w:rPr>
        <w:t> </w:t>
      </w:r>
      <w:r>
        <w:rPr>
          <w:sz w:val="24"/>
        </w:rPr>
        <w:t>no</w:t>
      </w:r>
      <w:r>
        <w:rPr>
          <w:spacing w:val="-1"/>
          <w:sz w:val="24"/>
        </w:rPr>
        <w:t> </w:t>
      </w:r>
      <w:r>
        <w:rPr>
          <w:sz w:val="24"/>
        </w:rPr>
        <w:t>98</w:t>
      </w:r>
      <w:r>
        <w:rPr>
          <w:spacing w:val="1"/>
          <w:sz w:val="24"/>
        </w:rPr>
        <w:t> </w:t>
      </w:r>
      <w:r>
        <w:rPr>
          <w:sz w:val="24"/>
        </w:rPr>
        <w:t>755</w:t>
      </w:r>
      <w:r>
        <w:rPr>
          <w:spacing w:val="1"/>
          <w:sz w:val="24"/>
        </w:rPr>
        <w:t> </w:t>
      </w:r>
      <w:r>
        <w:rPr>
          <w:sz w:val="24"/>
        </w:rPr>
        <w:t>754 (marque antérieure</w:t>
      </w:r>
      <w:r>
        <w:rPr>
          <w:spacing w:val="-3"/>
          <w:sz w:val="24"/>
        </w:rPr>
        <w:t> </w:t>
      </w:r>
      <w:r>
        <w:rPr>
          <w:sz w:val="24"/>
        </w:rPr>
        <w:t>no </w:t>
      </w:r>
      <w:r>
        <w:rPr>
          <w:spacing w:val="-5"/>
          <w:sz w:val="24"/>
        </w:rPr>
        <w:t>1)</w:t>
      </w:r>
    </w:p>
    <w:p>
      <w:pPr>
        <w:pStyle w:val="BodyText"/>
        <w:spacing w:before="81"/>
        <w:rPr>
          <w:sz w:val="20"/>
        </w:rPr>
      </w:pPr>
      <w:r>
        <w:rPr>
          <w:sz w:val="20"/>
        </w:rPr>
        <w:drawing>
          <wp:anchor distT="0" distB="0" distL="0" distR="0" allowOverlap="1" layoutInCell="1" locked="0" behindDoc="1" simplePos="0" relativeHeight="487590400">
            <wp:simplePos x="0" y="0"/>
            <wp:positionH relativeFrom="page">
              <wp:posOffset>3805547</wp:posOffset>
            </wp:positionH>
            <wp:positionV relativeFrom="paragraph">
              <wp:posOffset>212876</wp:posOffset>
            </wp:positionV>
            <wp:extent cx="220982" cy="327659"/>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8" cstate="print"/>
                    <a:stretch>
                      <a:fillRect/>
                    </a:stretch>
                  </pic:blipFill>
                  <pic:spPr>
                    <a:xfrm>
                      <a:off x="0" y="0"/>
                      <a:ext cx="220982" cy="327659"/>
                    </a:xfrm>
                    <a:prstGeom prst="rect">
                      <a:avLst/>
                    </a:prstGeom>
                  </pic:spPr>
                </pic:pic>
              </a:graphicData>
            </a:graphic>
          </wp:anchor>
        </w:drawing>
      </w:r>
    </w:p>
    <w:p>
      <w:pPr>
        <w:pStyle w:val="BodyText"/>
        <w:spacing w:before="46"/>
      </w:pPr>
    </w:p>
    <w:p>
      <w:pPr>
        <w:pStyle w:val="BodyText"/>
        <w:ind w:left="590" w:right="164"/>
        <w:jc w:val="both"/>
      </w:pPr>
      <w:r>
        <w:rPr/>
        <w:t>déposée</w:t>
      </w:r>
      <w:r>
        <w:rPr>
          <w:spacing w:val="-12"/>
        </w:rPr>
        <w:t> </w:t>
      </w:r>
      <w:r>
        <w:rPr/>
        <w:t>et</w:t>
      </w:r>
      <w:r>
        <w:rPr>
          <w:spacing w:val="-8"/>
        </w:rPr>
        <w:t> </w:t>
      </w:r>
      <w:r>
        <w:rPr/>
        <w:t>enregistrée</w:t>
      </w:r>
      <w:r>
        <w:rPr>
          <w:spacing w:val="-12"/>
        </w:rPr>
        <w:t> </w:t>
      </w:r>
      <w:r>
        <w:rPr/>
        <w:t>le</w:t>
      </w:r>
      <w:r>
        <w:rPr>
          <w:spacing w:val="-9"/>
        </w:rPr>
        <w:t> </w:t>
      </w:r>
      <w:r>
        <w:rPr/>
        <w:t>22</w:t>
      </w:r>
      <w:r>
        <w:rPr>
          <w:spacing w:val="-11"/>
        </w:rPr>
        <w:t> </w:t>
      </w:r>
      <w:r>
        <w:rPr/>
        <w:t>octobre</w:t>
      </w:r>
      <w:r>
        <w:rPr>
          <w:spacing w:val="-12"/>
        </w:rPr>
        <w:t> </w:t>
      </w:r>
      <w:r>
        <w:rPr/>
        <w:t>1998</w:t>
      </w:r>
      <w:r>
        <w:rPr>
          <w:spacing w:val="-11"/>
        </w:rPr>
        <w:t> </w:t>
      </w:r>
      <w:r>
        <w:rPr/>
        <w:t>pour</w:t>
      </w:r>
      <w:r>
        <w:rPr>
          <w:spacing w:val="-11"/>
        </w:rPr>
        <w:t> </w:t>
      </w:r>
      <w:r>
        <w:rPr/>
        <w:t>les</w:t>
      </w:r>
      <w:r>
        <w:rPr>
          <w:spacing w:val="-9"/>
        </w:rPr>
        <w:t> </w:t>
      </w:r>
      <w:r>
        <w:rPr/>
        <w:t>produits</w:t>
      </w:r>
      <w:r>
        <w:rPr>
          <w:spacing w:val="-10"/>
        </w:rPr>
        <w:t> </w:t>
      </w:r>
      <w:r>
        <w:rPr/>
        <w:t>relevant</w:t>
      </w:r>
      <w:r>
        <w:rPr>
          <w:spacing w:val="-10"/>
        </w:rPr>
        <w:t> </w:t>
      </w:r>
      <w:r>
        <w:rPr/>
        <w:t>des</w:t>
      </w:r>
      <w:r>
        <w:rPr>
          <w:spacing w:val="-8"/>
        </w:rPr>
        <w:t> </w:t>
      </w:r>
      <w:r>
        <w:rPr/>
        <w:t>classes</w:t>
      </w:r>
      <w:r>
        <w:rPr>
          <w:spacing w:val="-10"/>
        </w:rPr>
        <w:t> </w:t>
      </w:r>
      <w:r>
        <w:rPr/>
        <w:t>3,</w:t>
      </w:r>
      <w:r>
        <w:rPr>
          <w:spacing w:val="-11"/>
        </w:rPr>
        <w:t> </w:t>
      </w:r>
      <w:r>
        <w:rPr/>
        <w:t>18</w:t>
      </w:r>
      <w:r>
        <w:rPr>
          <w:spacing w:val="-11"/>
        </w:rPr>
        <w:t> </w:t>
      </w:r>
      <w:r>
        <w:rPr/>
        <w:t>et</w:t>
      </w:r>
      <w:r>
        <w:rPr>
          <w:spacing w:val="-10"/>
        </w:rPr>
        <w:t> </w:t>
      </w:r>
      <w:r>
        <w:rPr/>
        <w:t>25. L’opposition est fondée sur les produits suivants:</w:t>
      </w:r>
    </w:p>
    <w:p>
      <w:pPr>
        <w:spacing w:before="240"/>
        <w:ind w:left="590" w:right="166" w:firstLine="0"/>
        <w:jc w:val="both"/>
        <w:rPr>
          <w:sz w:val="24"/>
        </w:rPr>
      </w:pPr>
      <w:r>
        <w:rPr>
          <w:sz w:val="24"/>
        </w:rPr>
        <w:t>Classe 3:</w:t>
      </w:r>
      <w:r>
        <w:rPr>
          <w:spacing w:val="-2"/>
          <w:sz w:val="24"/>
        </w:rPr>
        <w:t> </w:t>
      </w:r>
      <w:r>
        <w:rPr>
          <w:i/>
          <w:sz w:val="24"/>
        </w:rPr>
        <w:t>Savons; parfumerie; huiles essentielles; cosmétiques; lotions capillaires; </w:t>
      </w:r>
      <w:r>
        <w:rPr>
          <w:i/>
          <w:spacing w:val="-2"/>
          <w:sz w:val="24"/>
        </w:rPr>
        <w:t>dentifrices</w:t>
      </w:r>
      <w:r>
        <w:rPr>
          <w:spacing w:val="-2"/>
          <w:sz w:val="24"/>
        </w:rPr>
        <w:t>.</w:t>
      </w:r>
    </w:p>
    <w:p>
      <w:pPr>
        <w:pStyle w:val="ListParagraph"/>
        <w:numPr>
          <w:ilvl w:val="1"/>
          <w:numId w:val="1"/>
        </w:numPr>
        <w:tabs>
          <w:tab w:pos="949" w:val="left" w:leader="none"/>
        </w:tabs>
        <w:spacing w:line="240" w:lineRule="auto" w:before="240" w:after="0"/>
        <w:ind w:left="949" w:right="0" w:hanging="359"/>
        <w:jc w:val="left"/>
        <w:rPr>
          <w:sz w:val="24"/>
        </w:rPr>
      </w:pPr>
      <w:r>
        <w:rPr>
          <w:sz w:val="24"/>
        </w:rPr>
        <w:t>Enregistrement</w:t>
      </w:r>
      <w:r>
        <w:rPr>
          <w:spacing w:val="-3"/>
          <w:sz w:val="24"/>
        </w:rPr>
        <w:t> </w:t>
      </w:r>
      <w:r>
        <w:rPr>
          <w:sz w:val="24"/>
        </w:rPr>
        <w:t>de</w:t>
      </w:r>
      <w:r>
        <w:rPr>
          <w:spacing w:val="-2"/>
          <w:sz w:val="24"/>
        </w:rPr>
        <w:t> </w:t>
      </w:r>
      <w:r>
        <w:rPr>
          <w:sz w:val="24"/>
        </w:rPr>
        <w:t>la</w:t>
      </w:r>
      <w:r>
        <w:rPr>
          <w:spacing w:val="-1"/>
          <w:sz w:val="24"/>
        </w:rPr>
        <w:t> </w:t>
      </w:r>
      <w:r>
        <w:rPr>
          <w:sz w:val="24"/>
        </w:rPr>
        <w:t>marque française</w:t>
      </w:r>
      <w:r>
        <w:rPr>
          <w:spacing w:val="-1"/>
          <w:sz w:val="24"/>
        </w:rPr>
        <w:t> </w:t>
      </w:r>
      <w:r>
        <w:rPr>
          <w:sz w:val="24"/>
        </w:rPr>
        <w:t>no 1</w:t>
      </w:r>
      <w:r>
        <w:rPr>
          <w:spacing w:val="-1"/>
          <w:sz w:val="24"/>
        </w:rPr>
        <w:t> </w:t>
      </w:r>
      <w:r>
        <w:rPr>
          <w:sz w:val="24"/>
        </w:rPr>
        <w:t>293</w:t>
      </w:r>
      <w:r>
        <w:rPr>
          <w:spacing w:val="-1"/>
          <w:sz w:val="24"/>
        </w:rPr>
        <w:t> </w:t>
      </w:r>
      <w:r>
        <w:rPr>
          <w:sz w:val="24"/>
        </w:rPr>
        <w:t>767 (marque</w:t>
      </w:r>
      <w:r>
        <w:rPr>
          <w:spacing w:val="-1"/>
          <w:sz w:val="24"/>
        </w:rPr>
        <w:t> </w:t>
      </w:r>
      <w:r>
        <w:rPr>
          <w:sz w:val="24"/>
        </w:rPr>
        <w:t>antérieure</w:t>
      </w:r>
      <w:r>
        <w:rPr>
          <w:spacing w:val="-3"/>
          <w:sz w:val="24"/>
        </w:rPr>
        <w:t> </w:t>
      </w:r>
      <w:r>
        <w:rPr>
          <w:sz w:val="24"/>
        </w:rPr>
        <w:t>no</w:t>
      </w:r>
      <w:r>
        <w:rPr>
          <w:spacing w:val="2"/>
          <w:sz w:val="24"/>
        </w:rPr>
        <w:t> </w:t>
      </w:r>
      <w:r>
        <w:rPr>
          <w:spacing w:val="-5"/>
          <w:sz w:val="24"/>
        </w:rPr>
        <w:t>2)</w:t>
      </w:r>
    </w:p>
    <w:p>
      <w:pPr>
        <w:pStyle w:val="Title"/>
      </w:pPr>
      <w:r>
        <w:rPr/>
        <w:t>NO </w:t>
      </w:r>
      <w:r>
        <w:rPr>
          <w:spacing w:val="-10"/>
        </w:rPr>
        <w:t>5</w:t>
      </w:r>
    </w:p>
    <w:p>
      <w:pPr>
        <w:pStyle w:val="BodyText"/>
        <w:spacing w:before="239"/>
        <w:ind w:left="590" w:right="165"/>
        <w:jc w:val="both"/>
      </w:pPr>
      <w:r>
        <w:rPr/>
        <w:t>déposée et enregistrée le 27 décembre 1984 pour des produits compris dans les classes 1, 2,</w:t>
      </w:r>
      <w:r>
        <w:rPr>
          <w:spacing w:val="32"/>
        </w:rPr>
        <w:t> </w:t>
      </w:r>
      <w:r>
        <w:rPr/>
        <w:t>3,</w:t>
      </w:r>
      <w:r>
        <w:rPr>
          <w:spacing w:val="35"/>
        </w:rPr>
        <w:t> </w:t>
      </w:r>
      <w:r>
        <w:rPr/>
        <w:t>5,</w:t>
      </w:r>
      <w:r>
        <w:rPr>
          <w:spacing w:val="35"/>
        </w:rPr>
        <w:t> </w:t>
      </w:r>
      <w:r>
        <w:rPr/>
        <w:t>7,</w:t>
      </w:r>
      <w:r>
        <w:rPr>
          <w:spacing w:val="35"/>
        </w:rPr>
        <w:t> </w:t>
      </w:r>
      <w:r>
        <w:rPr/>
        <w:t>9,</w:t>
      </w:r>
      <w:r>
        <w:rPr>
          <w:spacing w:val="33"/>
        </w:rPr>
        <w:t> </w:t>
      </w:r>
      <w:r>
        <w:rPr/>
        <w:t>14,</w:t>
      </w:r>
      <w:r>
        <w:rPr>
          <w:spacing w:val="34"/>
        </w:rPr>
        <w:t> </w:t>
      </w:r>
      <w:r>
        <w:rPr/>
        <w:t>16,</w:t>
      </w:r>
      <w:r>
        <w:rPr>
          <w:spacing w:val="35"/>
        </w:rPr>
        <w:t> </w:t>
      </w:r>
      <w:r>
        <w:rPr/>
        <w:t>17,</w:t>
      </w:r>
      <w:r>
        <w:rPr>
          <w:spacing w:val="35"/>
        </w:rPr>
        <w:t> </w:t>
      </w:r>
      <w:r>
        <w:rPr/>
        <w:t>18,</w:t>
      </w:r>
      <w:r>
        <w:rPr>
          <w:spacing w:val="35"/>
        </w:rPr>
        <w:t> </w:t>
      </w:r>
      <w:r>
        <w:rPr/>
        <w:t>20,</w:t>
      </w:r>
      <w:r>
        <w:rPr>
          <w:spacing w:val="35"/>
        </w:rPr>
        <w:t> </w:t>
      </w:r>
      <w:r>
        <w:rPr/>
        <w:t>21,</w:t>
      </w:r>
      <w:r>
        <w:rPr>
          <w:spacing w:val="35"/>
        </w:rPr>
        <w:t> </w:t>
      </w:r>
      <w:r>
        <w:rPr/>
        <w:t>23,</w:t>
      </w:r>
      <w:r>
        <w:rPr>
          <w:spacing w:val="32"/>
        </w:rPr>
        <w:t> </w:t>
      </w:r>
      <w:r>
        <w:rPr/>
        <w:t>24,</w:t>
      </w:r>
      <w:r>
        <w:rPr>
          <w:spacing w:val="35"/>
        </w:rPr>
        <w:t> </w:t>
      </w:r>
      <w:r>
        <w:rPr/>
        <w:t>25,</w:t>
      </w:r>
      <w:r>
        <w:rPr>
          <w:spacing w:val="33"/>
        </w:rPr>
        <w:t> </w:t>
      </w:r>
      <w:r>
        <w:rPr/>
        <w:t>26,</w:t>
      </w:r>
      <w:r>
        <w:rPr>
          <w:spacing w:val="35"/>
        </w:rPr>
        <w:t> </w:t>
      </w:r>
      <w:r>
        <w:rPr/>
        <w:t>27,</w:t>
      </w:r>
      <w:r>
        <w:rPr>
          <w:spacing w:val="35"/>
        </w:rPr>
        <w:t> </w:t>
      </w:r>
      <w:r>
        <w:rPr/>
        <w:t>28,</w:t>
      </w:r>
      <w:r>
        <w:rPr>
          <w:spacing w:val="35"/>
        </w:rPr>
        <w:t> </w:t>
      </w:r>
      <w:r>
        <w:rPr/>
        <w:t>29,</w:t>
      </w:r>
      <w:r>
        <w:rPr>
          <w:spacing w:val="32"/>
        </w:rPr>
        <w:t> </w:t>
      </w:r>
      <w:r>
        <w:rPr/>
        <w:t>30,</w:t>
      </w:r>
      <w:r>
        <w:rPr>
          <w:spacing w:val="35"/>
        </w:rPr>
        <w:t> </w:t>
      </w:r>
      <w:r>
        <w:rPr/>
        <w:t>31,</w:t>
      </w:r>
      <w:r>
        <w:rPr>
          <w:spacing w:val="33"/>
        </w:rPr>
        <w:t> </w:t>
      </w:r>
      <w:r>
        <w:rPr/>
        <w:t>32,</w:t>
      </w:r>
      <w:r>
        <w:rPr>
          <w:spacing w:val="35"/>
        </w:rPr>
        <w:t> </w:t>
      </w:r>
      <w:r>
        <w:rPr/>
        <w:t>33</w:t>
      </w:r>
      <w:r>
        <w:rPr>
          <w:spacing w:val="35"/>
        </w:rPr>
        <w:t> </w:t>
      </w:r>
      <w:r>
        <w:rPr/>
        <w:t>et</w:t>
      </w:r>
      <w:r>
        <w:rPr>
          <w:spacing w:val="36"/>
        </w:rPr>
        <w:t> </w:t>
      </w:r>
      <w:r>
        <w:rPr>
          <w:spacing w:val="-5"/>
        </w:rPr>
        <w:t>34.</w:t>
      </w:r>
    </w:p>
    <w:p>
      <w:pPr>
        <w:pStyle w:val="BodyText"/>
        <w:ind w:left="590"/>
        <w:jc w:val="both"/>
      </w:pPr>
      <w:r>
        <w:rPr/>
        <w:t>L’opposition</w:t>
      </w:r>
      <w:r>
        <w:rPr>
          <w:spacing w:val="-3"/>
        </w:rPr>
        <w:t> </w:t>
      </w:r>
      <w:r>
        <w:rPr/>
        <w:t>est fondée</w:t>
      </w:r>
      <w:r>
        <w:rPr>
          <w:spacing w:val="-2"/>
        </w:rPr>
        <w:t> </w:t>
      </w:r>
      <w:r>
        <w:rPr/>
        <w:t>sur les</w:t>
      </w:r>
      <w:r>
        <w:rPr>
          <w:spacing w:val="-1"/>
        </w:rPr>
        <w:t> </w:t>
      </w:r>
      <w:r>
        <w:rPr/>
        <w:t>produits </w:t>
      </w:r>
      <w:r>
        <w:rPr>
          <w:spacing w:val="-2"/>
        </w:rPr>
        <w:t>suivants:</w:t>
      </w:r>
    </w:p>
    <w:p>
      <w:pPr>
        <w:spacing w:before="240"/>
        <w:ind w:left="590" w:right="160" w:firstLine="0"/>
        <w:jc w:val="both"/>
        <w:rPr>
          <w:i/>
          <w:sz w:val="24"/>
        </w:rPr>
      </w:pPr>
      <w:r>
        <w:rPr>
          <w:sz w:val="24"/>
        </w:rPr>
        <w:t>Classe</w:t>
      </w:r>
      <w:r>
        <w:rPr>
          <w:spacing w:val="-10"/>
          <w:sz w:val="24"/>
        </w:rPr>
        <w:t> </w:t>
      </w:r>
      <w:r>
        <w:rPr>
          <w:sz w:val="24"/>
        </w:rPr>
        <w:t>3:</w:t>
      </w:r>
      <w:r>
        <w:rPr>
          <w:spacing w:val="-9"/>
          <w:sz w:val="24"/>
        </w:rPr>
        <w:t> </w:t>
      </w:r>
      <w:r>
        <w:rPr>
          <w:sz w:val="24"/>
        </w:rPr>
        <w:t>Préparations</w:t>
      </w:r>
      <w:r>
        <w:rPr>
          <w:i/>
          <w:sz w:val="24"/>
        </w:rPr>
        <w:t>pour</w:t>
      </w:r>
      <w:r>
        <w:rPr>
          <w:i/>
          <w:spacing w:val="-9"/>
          <w:sz w:val="24"/>
        </w:rPr>
        <w:t> </w:t>
      </w:r>
      <w:r>
        <w:rPr>
          <w:i/>
          <w:sz w:val="24"/>
        </w:rPr>
        <w:t>blanchir</w:t>
      </w:r>
      <w:r>
        <w:rPr>
          <w:i/>
          <w:spacing w:val="-9"/>
          <w:sz w:val="24"/>
        </w:rPr>
        <w:t> </w:t>
      </w:r>
      <w:r>
        <w:rPr>
          <w:i/>
          <w:sz w:val="24"/>
        </w:rPr>
        <w:t>et</w:t>
      </w:r>
      <w:r>
        <w:rPr>
          <w:i/>
          <w:spacing w:val="-9"/>
          <w:sz w:val="24"/>
        </w:rPr>
        <w:t> </w:t>
      </w:r>
      <w:r>
        <w:rPr>
          <w:i/>
          <w:sz w:val="24"/>
        </w:rPr>
        <w:t>autres</w:t>
      </w:r>
      <w:r>
        <w:rPr>
          <w:i/>
          <w:spacing w:val="-9"/>
          <w:sz w:val="24"/>
        </w:rPr>
        <w:t> </w:t>
      </w:r>
      <w:r>
        <w:rPr>
          <w:i/>
          <w:sz w:val="24"/>
        </w:rPr>
        <w:t>substances</w:t>
      </w:r>
      <w:r>
        <w:rPr>
          <w:i/>
          <w:spacing w:val="-9"/>
          <w:sz w:val="24"/>
        </w:rPr>
        <w:t> </w:t>
      </w:r>
      <w:r>
        <w:rPr>
          <w:i/>
          <w:sz w:val="24"/>
        </w:rPr>
        <w:t>pour</w:t>
      </w:r>
      <w:r>
        <w:rPr>
          <w:i/>
          <w:spacing w:val="-9"/>
          <w:sz w:val="24"/>
        </w:rPr>
        <w:t> </w:t>
      </w:r>
      <w:r>
        <w:rPr>
          <w:i/>
          <w:sz w:val="24"/>
        </w:rPr>
        <w:t>lessiver;</w:t>
      </w:r>
      <w:r>
        <w:rPr>
          <w:i/>
          <w:spacing w:val="-10"/>
          <w:sz w:val="24"/>
        </w:rPr>
        <w:t> </w:t>
      </w:r>
      <w:r>
        <w:rPr>
          <w:i/>
          <w:sz w:val="24"/>
        </w:rPr>
        <w:t>préparations</w:t>
      </w:r>
      <w:r>
        <w:rPr>
          <w:i/>
          <w:spacing w:val="-9"/>
          <w:sz w:val="24"/>
        </w:rPr>
        <w:t> </w:t>
      </w:r>
      <w:r>
        <w:rPr>
          <w:i/>
          <w:sz w:val="24"/>
        </w:rPr>
        <w:t>pour nettoyer, polir, dégraisser et abraser; parfumerie; extraits (parfums); eaux de toilette parfumées; colognes; lotions parfumées; poudres; poudre pour le bain; talc; produits de bronzage; savons; huiles pour le bain; produits de beauté; savons; fards; huiles essentielles; cosmétiques; produits capillaires; dentifrices.</w:t>
      </w:r>
    </w:p>
    <w:p>
      <w:pPr>
        <w:pStyle w:val="ListParagraph"/>
        <w:numPr>
          <w:ilvl w:val="0"/>
          <w:numId w:val="1"/>
        </w:numPr>
        <w:tabs>
          <w:tab w:pos="590" w:val="left" w:leader="none"/>
        </w:tabs>
        <w:spacing w:line="240" w:lineRule="auto" w:before="240" w:after="0"/>
        <w:ind w:left="590" w:right="158" w:hanging="425"/>
        <w:jc w:val="both"/>
        <w:rPr>
          <w:sz w:val="24"/>
        </w:rPr>
      </w:pPr>
      <w:r>
        <w:rPr>
          <w:sz w:val="24"/>
        </w:rPr>
        <w:t>Par décision du 17 juin 2024 (ci-après la «décision attaquée»), la division d’opposition a rejeté</w:t>
      </w:r>
      <w:r>
        <w:rPr>
          <w:spacing w:val="-9"/>
          <w:sz w:val="24"/>
        </w:rPr>
        <w:t> </w:t>
      </w:r>
      <w:r>
        <w:rPr>
          <w:sz w:val="24"/>
        </w:rPr>
        <w:t>l’opposition</w:t>
      </w:r>
      <w:r>
        <w:rPr>
          <w:spacing w:val="-8"/>
          <w:sz w:val="24"/>
        </w:rPr>
        <w:t> </w:t>
      </w:r>
      <w:r>
        <w:rPr>
          <w:sz w:val="24"/>
        </w:rPr>
        <w:t>dans</w:t>
      </w:r>
      <w:r>
        <w:rPr>
          <w:spacing w:val="-8"/>
          <w:sz w:val="24"/>
        </w:rPr>
        <w:t> </w:t>
      </w:r>
      <w:r>
        <w:rPr>
          <w:sz w:val="24"/>
        </w:rPr>
        <w:t>son</w:t>
      </w:r>
      <w:r>
        <w:rPr>
          <w:spacing w:val="-8"/>
          <w:sz w:val="24"/>
        </w:rPr>
        <w:t> </w:t>
      </w:r>
      <w:r>
        <w:rPr>
          <w:sz w:val="24"/>
        </w:rPr>
        <w:t>intégralité</w:t>
      </w:r>
      <w:r>
        <w:rPr>
          <w:spacing w:val="-9"/>
          <w:sz w:val="24"/>
        </w:rPr>
        <w:t> </w:t>
      </w:r>
      <w:r>
        <w:rPr>
          <w:sz w:val="24"/>
        </w:rPr>
        <w:t>au</w:t>
      </w:r>
      <w:r>
        <w:rPr>
          <w:spacing w:val="-8"/>
          <w:sz w:val="24"/>
        </w:rPr>
        <w:t> </w:t>
      </w:r>
      <w:r>
        <w:rPr>
          <w:sz w:val="24"/>
        </w:rPr>
        <w:t>motif</w:t>
      </w:r>
      <w:r>
        <w:rPr>
          <w:spacing w:val="-9"/>
          <w:sz w:val="24"/>
        </w:rPr>
        <w:t> </w:t>
      </w:r>
      <w:r>
        <w:rPr>
          <w:sz w:val="24"/>
        </w:rPr>
        <w:t>qu’il</w:t>
      </w:r>
      <w:r>
        <w:rPr>
          <w:spacing w:val="-8"/>
          <w:sz w:val="24"/>
        </w:rPr>
        <w:t> </w:t>
      </w:r>
      <w:r>
        <w:rPr>
          <w:sz w:val="24"/>
        </w:rPr>
        <w:t>n’existait</w:t>
      </w:r>
      <w:r>
        <w:rPr>
          <w:spacing w:val="-10"/>
          <w:sz w:val="24"/>
        </w:rPr>
        <w:t> </w:t>
      </w:r>
      <w:r>
        <w:rPr>
          <w:sz w:val="24"/>
        </w:rPr>
        <w:t>pas</w:t>
      </w:r>
      <w:r>
        <w:rPr>
          <w:spacing w:val="-8"/>
          <w:sz w:val="24"/>
        </w:rPr>
        <w:t> </w:t>
      </w:r>
      <w:r>
        <w:rPr>
          <w:sz w:val="24"/>
        </w:rPr>
        <w:t>de</w:t>
      </w:r>
      <w:r>
        <w:rPr>
          <w:spacing w:val="-9"/>
          <w:sz w:val="24"/>
        </w:rPr>
        <w:t> </w:t>
      </w:r>
      <w:r>
        <w:rPr>
          <w:sz w:val="24"/>
        </w:rPr>
        <w:t>risque</w:t>
      </w:r>
      <w:r>
        <w:rPr>
          <w:spacing w:val="-12"/>
          <w:sz w:val="24"/>
        </w:rPr>
        <w:t> </w:t>
      </w:r>
      <w:r>
        <w:rPr>
          <w:sz w:val="24"/>
        </w:rPr>
        <w:t>de</w:t>
      </w:r>
      <w:r>
        <w:rPr>
          <w:spacing w:val="-9"/>
          <w:sz w:val="24"/>
        </w:rPr>
        <w:t> </w:t>
      </w:r>
      <w:r>
        <w:rPr>
          <w:sz w:val="24"/>
        </w:rPr>
        <w:t>confusion. Elle a, notamment, motivé sa décision comme suit:</w:t>
      </w:r>
    </w:p>
    <w:p>
      <w:pPr>
        <w:pStyle w:val="ListParagraph"/>
        <w:numPr>
          <w:ilvl w:val="0"/>
          <w:numId w:val="2"/>
        </w:numPr>
        <w:tabs>
          <w:tab w:pos="1015" w:val="left" w:leader="none"/>
          <w:tab w:pos="1017" w:val="left" w:leader="none"/>
        </w:tabs>
        <w:spacing w:line="240" w:lineRule="auto" w:before="240" w:after="0"/>
        <w:ind w:left="1017" w:right="165" w:hanging="428"/>
        <w:jc w:val="both"/>
        <w:rPr>
          <w:sz w:val="24"/>
        </w:rPr>
      </w:pPr>
      <w:r>
        <w:rPr>
          <w:sz w:val="24"/>
        </w:rPr>
        <w:t>Pour des raisons d’économie de procédure, l’examen de l’opposition sera effectué comme si tous les produits contestés étaient identiques à ceux désignés par les marques antérieures.</w:t>
      </w:r>
    </w:p>
    <w:p>
      <w:pPr>
        <w:pStyle w:val="ListParagraph"/>
        <w:numPr>
          <w:ilvl w:val="0"/>
          <w:numId w:val="2"/>
        </w:numPr>
        <w:tabs>
          <w:tab w:pos="1017" w:val="left" w:leader="none"/>
        </w:tabs>
        <w:spacing w:line="240" w:lineRule="auto" w:before="241" w:after="0"/>
        <w:ind w:left="1017" w:right="0" w:hanging="427"/>
        <w:jc w:val="left"/>
        <w:rPr>
          <w:sz w:val="24"/>
        </w:rPr>
      </w:pPr>
      <w:r>
        <w:rPr>
          <w:sz w:val="24"/>
        </w:rPr>
        <w:t>Les</w:t>
      </w:r>
      <w:r>
        <w:rPr>
          <w:spacing w:val="-5"/>
          <w:sz w:val="24"/>
        </w:rPr>
        <w:t> </w:t>
      </w:r>
      <w:r>
        <w:rPr>
          <w:sz w:val="24"/>
        </w:rPr>
        <w:t>produits</w:t>
      </w:r>
      <w:r>
        <w:rPr>
          <w:spacing w:val="-2"/>
          <w:sz w:val="24"/>
        </w:rPr>
        <w:t> </w:t>
      </w:r>
      <w:r>
        <w:rPr>
          <w:sz w:val="24"/>
        </w:rPr>
        <w:t>s’adressent au</w:t>
      </w:r>
      <w:r>
        <w:rPr>
          <w:spacing w:val="-1"/>
          <w:sz w:val="24"/>
        </w:rPr>
        <w:t> </w:t>
      </w:r>
      <w:r>
        <w:rPr>
          <w:sz w:val="24"/>
        </w:rPr>
        <w:t>grand</w:t>
      </w:r>
      <w:r>
        <w:rPr>
          <w:spacing w:val="-2"/>
          <w:sz w:val="24"/>
        </w:rPr>
        <w:t> </w:t>
      </w:r>
      <w:r>
        <w:rPr>
          <w:sz w:val="24"/>
        </w:rPr>
        <w:t>public</w:t>
      </w:r>
      <w:r>
        <w:rPr>
          <w:spacing w:val="-2"/>
          <w:sz w:val="24"/>
        </w:rPr>
        <w:t> </w:t>
      </w:r>
      <w:r>
        <w:rPr>
          <w:sz w:val="24"/>
        </w:rPr>
        <w:t>dont</w:t>
      </w:r>
      <w:r>
        <w:rPr>
          <w:spacing w:val="-2"/>
          <w:sz w:val="24"/>
        </w:rPr>
        <w:t> </w:t>
      </w:r>
      <w:r>
        <w:rPr>
          <w:sz w:val="24"/>
        </w:rPr>
        <w:t>le</w:t>
      </w:r>
      <w:r>
        <w:rPr>
          <w:spacing w:val="-2"/>
          <w:sz w:val="24"/>
        </w:rPr>
        <w:t> </w:t>
      </w:r>
      <w:r>
        <w:rPr>
          <w:sz w:val="24"/>
        </w:rPr>
        <w:t>niveau</w:t>
      </w:r>
      <w:r>
        <w:rPr>
          <w:spacing w:val="-2"/>
          <w:sz w:val="24"/>
        </w:rPr>
        <w:t> </w:t>
      </w:r>
      <w:r>
        <w:rPr>
          <w:sz w:val="24"/>
        </w:rPr>
        <w:t>d’attention</w:t>
      </w:r>
      <w:r>
        <w:rPr>
          <w:spacing w:val="-1"/>
          <w:sz w:val="24"/>
        </w:rPr>
        <w:t> </w:t>
      </w:r>
      <w:r>
        <w:rPr>
          <w:sz w:val="24"/>
        </w:rPr>
        <w:t>sera</w:t>
      </w:r>
      <w:r>
        <w:rPr>
          <w:spacing w:val="-2"/>
          <w:sz w:val="24"/>
        </w:rPr>
        <w:t> moyen.</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9"/>
        <w:rPr>
          <w:sz w:val="18"/>
        </w:rPr>
      </w:pPr>
    </w:p>
    <w:p>
      <w:pPr>
        <w:spacing w:before="0"/>
        <w:ind w:left="2737" w:right="2738" w:firstLine="0"/>
        <w:jc w:val="center"/>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p>
      <w:pPr>
        <w:spacing w:after="0"/>
        <w:jc w:val="center"/>
        <w:rPr>
          <w:sz w:val="18"/>
        </w:rPr>
        <w:sectPr>
          <w:pgSz w:w="11910" w:h="16840"/>
          <w:pgMar w:header="970" w:footer="0" w:top="1180" w:bottom="280" w:left="1275" w:right="1275"/>
        </w:sectPr>
      </w:pPr>
    </w:p>
    <w:p>
      <w:pPr>
        <w:pStyle w:val="ListParagraph"/>
        <w:numPr>
          <w:ilvl w:val="0"/>
          <w:numId w:val="2"/>
        </w:numPr>
        <w:tabs>
          <w:tab w:pos="1015" w:val="left" w:leader="none"/>
          <w:tab w:pos="1017" w:val="left" w:leader="none"/>
        </w:tabs>
        <w:spacing w:line="240" w:lineRule="auto" w:before="249" w:after="0"/>
        <w:ind w:left="1017" w:right="159" w:hanging="428"/>
        <w:jc w:val="both"/>
        <w:rPr>
          <w:sz w:val="24"/>
        </w:rPr>
      </w:pPr>
      <w:r>
        <w:rPr>
          <w:sz w:val="24"/>
        </w:rPr>
        <mc:AlternateContent>
          <mc:Choice Requires="wps">
            <w:drawing>
              <wp:anchor distT="0" distB="0" distL="0" distR="0" allowOverlap="1" layoutInCell="1" locked="0" behindDoc="0" simplePos="0" relativeHeight="15732224">
                <wp:simplePos x="0" y="0"/>
                <wp:positionH relativeFrom="page">
                  <wp:posOffset>270575</wp:posOffset>
                </wp:positionH>
                <wp:positionV relativeFrom="page">
                  <wp:posOffset>1114363</wp:posOffset>
                </wp:positionV>
                <wp:extent cx="146050" cy="921004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46050" cy="9210040"/>
                        </a:xfrm>
                        <a:prstGeom prst="rect">
                          <a:avLst/>
                        </a:prstGeom>
                      </wps:spPr>
                      <wps:txbx>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wps:txbx>
                      <wps:bodyPr wrap="square" lIns="0" tIns="0" rIns="0" bIns="0" rtlCol="0" vert="vert270">
                        <a:noAutofit/>
                      </wps:bodyPr>
                    </wps:wsp>
                  </a:graphicData>
                </a:graphic>
              </wp:anchor>
            </w:drawing>
          </mc:Choice>
          <mc:Fallback>
            <w:pict>
              <v:shape style="position:absolute;margin-left:21.305176pt;margin-top:87.745193pt;width:11.5pt;height:725.2pt;mso-position-horizontal-relative:page;mso-position-vertical-relative:page;z-index:15732224" type="#_x0000_t202" id="docshape7" filled="false" stroked="false">
                <v:textbox inset="0,0,0,0" style="layout-flow:vertical;mso-layout-flow-alt:bottom-to-top">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v:textbox>
                <w10:wrap type="none"/>
              </v:shape>
            </w:pict>
          </mc:Fallback>
        </mc:AlternateContent>
      </w:r>
      <w:r>
        <w:rPr>
          <w:sz w:val="24"/>
        </w:rPr>
        <w:t>Bien que la marque antérieure no 1 soit une marque figurative, son seul chiffre est représenté dans une police de caractères standard, sans aucun élément graphique supplémentaire. Par conséquent, les principes développés en matière de marques verbales doivent être appliqués à l’égard de cette marque &amp;bra; 09/09/2010,-265/09 P, α (fig.), EU:C:2010:508, § 25 &amp;ket;.</w:t>
      </w:r>
    </w:p>
    <w:p>
      <w:pPr>
        <w:pStyle w:val="ListParagraph"/>
        <w:numPr>
          <w:ilvl w:val="0"/>
          <w:numId w:val="2"/>
        </w:numPr>
        <w:tabs>
          <w:tab w:pos="1015" w:val="left" w:leader="none"/>
          <w:tab w:pos="1017" w:val="left" w:leader="none"/>
        </w:tabs>
        <w:spacing w:line="240" w:lineRule="auto" w:before="238" w:after="0"/>
        <w:ind w:left="1017" w:right="160" w:hanging="428"/>
        <w:jc w:val="both"/>
        <w:rPr>
          <w:sz w:val="24"/>
        </w:rPr>
      </w:pPr>
      <w:r>
        <w:rPr>
          <w:sz w:val="24"/>
        </w:rPr>
        <w:t>La marque antérieure 2 est une marque verbale dont la protection s’étend au mot indiqué dans sa demande, que la lettre «N» soit représentée en majuscules ou en minuscules.</w:t>
      </w:r>
      <w:r>
        <w:rPr>
          <w:spacing w:val="-10"/>
          <w:sz w:val="24"/>
        </w:rPr>
        <w:t> </w:t>
      </w:r>
      <w:r>
        <w:rPr>
          <w:sz w:val="24"/>
        </w:rPr>
        <w:t>Dans</w:t>
      </w:r>
      <w:r>
        <w:rPr>
          <w:spacing w:val="-9"/>
          <w:sz w:val="24"/>
        </w:rPr>
        <w:t> </w:t>
      </w:r>
      <w:r>
        <w:rPr>
          <w:sz w:val="24"/>
        </w:rPr>
        <w:t>les</w:t>
      </w:r>
      <w:r>
        <w:rPr>
          <w:spacing w:val="-8"/>
          <w:sz w:val="24"/>
        </w:rPr>
        <w:t> </w:t>
      </w:r>
      <w:r>
        <w:rPr>
          <w:sz w:val="24"/>
        </w:rPr>
        <w:t>deux</w:t>
      </w:r>
      <w:r>
        <w:rPr>
          <w:spacing w:val="-8"/>
          <w:sz w:val="24"/>
        </w:rPr>
        <w:t> </w:t>
      </w:r>
      <w:r>
        <w:rPr>
          <w:sz w:val="24"/>
        </w:rPr>
        <w:t>cas,</w:t>
      </w:r>
      <w:r>
        <w:rPr>
          <w:spacing w:val="-9"/>
          <w:sz w:val="24"/>
        </w:rPr>
        <w:t> </w:t>
      </w:r>
      <w:r>
        <w:rPr>
          <w:sz w:val="24"/>
        </w:rPr>
        <w:t>la</w:t>
      </w:r>
      <w:r>
        <w:rPr>
          <w:spacing w:val="-10"/>
          <w:sz w:val="24"/>
        </w:rPr>
        <w:t> </w:t>
      </w:r>
      <w:r>
        <w:rPr>
          <w:sz w:val="24"/>
        </w:rPr>
        <w:t>combinaison</w:t>
      </w:r>
      <w:r>
        <w:rPr>
          <w:spacing w:val="-9"/>
          <w:sz w:val="24"/>
        </w:rPr>
        <w:t> </w:t>
      </w:r>
      <w:r>
        <w:rPr>
          <w:sz w:val="24"/>
        </w:rPr>
        <w:t>de</w:t>
      </w:r>
      <w:r>
        <w:rPr>
          <w:spacing w:val="-11"/>
          <w:sz w:val="24"/>
        </w:rPr>
        <w:t> </w:t>
      </w:r>
      <w:r>
        <w:rPr>
          <w:sz w:val="24"/>
        </w:rPr>
        <w:t>l’élément</w:t>
      </w:r>
      <w:r>
        <w:rPr>
          <w:spacing w:val="-9"/>
          <w:sz w:val="24"/>
        </w:rPr>
        <w:t> </w:t>
      </w:r>
      <w:r>
        <w:rPr>
          <w:sz w:val="24"/>
        </w:rPr>
        <w:t>verbal</w:t>
      </w:r>
      <w:r>
        <w:rPr>
          <w:spacing w:val="-4"/>
          <w:sz w:val="24"/>
        </w:rPr>
        <w:t> </w:t>
      </w:r>
      <w:r>
        <w:rPr>
          <w:sz w:val="24"/>
        </w:rPr>
        <w:t>«N»</w:t>
      </w:r>
      <w:r>
        <w:rPr>
          <w:spacing w:val="-14"/>
          <w:sz w:val="24"/>
        </w:rPr>
        <w:t> </w:t>
      </w:r>
      <w:r>
        <w:rPr>
          <w:sz w:val="24"/>
        </w:rPr>
        <w:t>et</w:t>
      </w:r>
      <w:r>
        <w:rPr>
          <w:spacing w:val="-7"/>
          <w:sz w:val="24"/>
        </w:rPr>
        <w:t> </w:t>
      </w:r>
      <w:r>
        <w:rPr>
          <w:sz w:val="24"/>
        </w:rPr>
        <w:t>du</w:t>
      </w:r>
      <w:r>
        <w:rPr>
          <w:spacing w:val="-10"/>
          <w:sz w:val="24"/>
        </w:rPr>
        <w:t> </w:t>
      </w:r>
      <w:r>
        <w:rPr>
          <w:sz w:val="24"/>
        </w:rPr>
        <w:t>signe</w:t>
      </w:r>
      <w:r>
        <w:rPr>
          <w:spacing w:val="-8"/>
          <w:sz w:val="24"/>
        </w:rPr>
        <w:t> </w:t>
      </w:r>
      <w:r>
        <w:rPr>
          <w:sz w:val="24"/>
        </w:rPr>
        <w:t>de degré «°» représente une abréviation typographique courante du mot «number» (informations extraites le 7 juin 2024 à l’adresse </w:t>
      </w:r>
      <w:hyperlink r:id="rId9">
        <w:r>
          <w:rPr>
            <w:color w:val="0000FF"/>
            <w:sz w:val="24"/>
            <w:u w:val="single" w:color="0000FF"/>
          </w:rPr>
          <w:t>www.larousse.fr/dictionnaires/francais/no/53664</w:t>
        </w:r>
      </w:hyperlink>
      <w:r>
        <w:rPr>
          <w:sz w:val="24"/>
        </w:rPr>
        <w:t>). Par conséquent, la marque antérieure 2 véhiculera aux consommateurs pertinents la signification «numéro 5».</w:t>
      </w:r>
    </w:p>
    <w:p>
      <w:pPr>
        <w:pStyle w:val="ListParagraph"/>
        <w:numPr>
          <w:ilvl w:val="0"/>
          <w:numId w:val="2"/>
        </w:numPr>
        <w:tabs>
          <w:tab w:pos="1015" w:val="left" w:leader="none"/>
          <w:tab w:pos="1017" w:val="left" w:leader="none"/>
        </w:tabs>
        <w:spacing w:line="240" w:lineRule="auto" w:before="240" w:after="0"/>
        <w:ind w:left="1017" w:right="160" w:hanging="428"/>
        <w:jc w:val="both"/>
        <w:rPr>
          <w:sz w:val="24"/>
        </w:rPr>
      </w:pPr>
      <w:r>
        <w:rPr>
          <w:sz w:val="24"/>
        </w:rPr>
        <w:t>Le</w:t>
      </w:r>
      <w:r>
        <w:rPr>
          <w:spacing w:val="-6"/>
          <w:sz w:val="24"/>
        </w:rPr>
        <w:t> </w:t>
      </w:r>
      <w:r>
        <w:rPr>
          <w:sz w:val="24"/>
        </w:rPr>
        <w:t>signe</w:t>
      </w:r>
      <w:r>
        <w:rPr>
          <w:spacing w:val="-6"/>
          <w:sz w:val="24"/>
        </w:rPr>
        <w:t> </w:t>
      </w:r>
      <w:r>
        <w:rPr>
          <w:sz w:val="24"/>
        </w:rPr>
        <w:t>contesté</w:t>
      </w:r>
      <w:r>
        <w:rPr>
          <w:spacing w:val="-5"/>
          <w:sz w:val="24"/>
        </w:rPr>
        <w:t> </w:t>
      </w:r>
      <w:r>
        <w:rPr>
          <w:sz w:val="24"/>
        </w:rPr>
        <w:t>représente</w:t>
      </w:r>
      <w:r>
        <w:rPr>
          <w:spacing w:val="-5"/>
          <w:sz w:val="24"/>
        </w:rPr>
        <w:t> </w:t>
      </w:r>
      <w:r>
        <w:rPr>
          <w:sz w:val="24"/>
        </w:rPr>
        <w:t>le</w:t>
      </w:r>
      <w:r>
        <w:rPr>
          <w:spacing w:val="-5"/>
          <w:sz w:val="24"/>
        </w:rPr>
        <w:t> </w:t>
      </w:r>
      <w:r>
        <w:rPr>
          <w:sz w:val="24"/>
        </w:rPr>
        <w:t>nombre</w:t>
      </w:r>
      <w:r>
        <w:rPr>
          <w:spacing w:val="-2"/>
          <w:sz w:val="24"/>
        </w:rPr>
        <w:t> </w:t>
      </w:r>
      <w:r>
        <w:rPr>
          <w:sz w:val="24"/>
        </w:rPr>
        <w:t>«5»</w:t>
      </w:r>
      <w:r>
        <w:rPr>
          <w:spacing w:val="-10"/>
          <w:sz w:val="24"/>
        </w:rPr>
        <w:t> </w:t>
      </w:r>
      <w:r>
        <w:rPr>
          <w:sz w:val="24"/>
        </w:rPr>
        <w:t>avec</w:t>
      </w:r>
      <w:r>
        <w:rPr>
          <w:spacing w:val="-6"/>
          <w:sz w:val="24"/>
        </w:rPr>
        <w:t> </w:t>
      </w:r>
      <w:r>
        <w:rPr>
          <w:sz w:val="24"/>
        </w:rPr>
        <w:t>une</w:t>
      </w:r>
      <w:r>
        <w:rPr>
          <w:spacing w:val="-6"/>
          <w:sz w:val="24"/>
        </w:rPr>
        <w:t> </w:t>
      </w:r>
      <w:r>
        <w:rPr>
          <w:sz w:val="24"/>
        </w:rPr>
        <w:t>ligne</w:t>
      </w:r>
      <w:r>
        <w:rPr>
          <w:spacing w:val="-6"/>
          <w:sz w:val="24"/>
        </w:rPr>
        <w:t> </w:t>
      </w:r>
      <w:r>
        <w:rPr>
          <w:sz w:val="24"/>
        </w:rPr>
        <w:t>supérieure</w:t>
      </w:r>
      <w:r>
        <w:rPr>
          <w:spacing w:val="-7"/>
          <w:sz w:val="24"/>
        </w:rPr>
        <w:t> </w:t>
      </w:r>
      <w:r>
        <w:rPr>
          <w:sz w:val="24"/>
        </w:rPr>
        <w:t>qui</w:t>
      </w:r>
      <w:r>
        <w:rPr>
          <w:spacing w:val="-4"/>
          <w:sz w:val="24"/>
        </w:rPr>
        <w:t> </w:t>
      </w:r>
      <w:r>
        <w:rPr>
          <w:sz w:val="24"/>
        </w:rPr>
        <w:t>s’écarte</w:t>
      </w:r>
      <w:r>
        <w:rPr>
          <w:spacing w:val="-6"/>
          <w:sz w:val="24"/>
        </w:rPr>
        <w:t> </w:t>
      </w:r>
      <w:r>
        <w:rPr>
          <w:sz w:val="24"/>
        </w:rPr>
        <w:t>des polices</w:t>
      </w:r>
      <w:r>
        <w:rPr>
          <w:spacing w:val="-10"/>
          <w:sz w:val="24"/>
        </w:rPr>
        <w:t> </w:t>
      </w:r>
      <w:r>
        <w:rPr>
          <w:sz w:val="24"/>
        </w:rPr>
        <w:t>de</w:t>
      </w:r>
      <w:r>
        <w:rPr>
          <w:spacing w:val="-12"/>
          <w:sz w:val="24"/>
        </w:rPr>
        <w:t> </w:t>
      </w:r>
      <w:r>
        <w:rPr>
          <w:sz w:val="24"/>
        </w:rPr>
        <w:t>caractères</w:t>
      </w:r>
      <w:r>
        <w:rPr>
          <w:spacing w:val="-10"/>
          <w:sz w:val="24"/>
        </w:rPr>
        <w:t> </w:t>
      </w:r>
      <w:r>
        <w:rPr>
          <w:sz w:val="24"/>
        </w:rPr>
        <w:t>standard</w:t>
      </w:r>
      <w:r>
        <w:rPr>
          <w:spacing w:val="-11"/>
          <w:sz w:val="24"/>
        </w:rPr>
        <w:t> </w:t>
      </w:r>
      <w:r>
        <w:rPr>
          <w:sz w:val="24"/>
        </w:rPr>
        <w:t>en</w:t>
      </w:r>
      <w:r>
        <w:rPr>
          <w:spacing w:val="-9"/>
          <w:sz w:val="24"/>
        </w:rPr>
        <w:t> </w:t>
      </w:r>
      <w:r>
        <w:rPr>
          <w:sz w:val="24"/>
        </w:rPr>
        <w:t>ce</w:t>
      </w:r>
      <w:r>
        <w:rPr>
          <w:spacing w:val="-9"/>
          <w:sz w:val="24"/>
        </w:rPr>
        <w:t> </w:t>
      </w:r>
      <w:r>
        <w:rPr>
          <w:sz w:val="24"/>
        </w:rPr>
        <w:t>qu’il</w:t>
      </w:r>
      <w:r>
        <w:rPr>
          <w:spacing w:val="-10"/>
          <w:sz w:val="24"/>
        </w:rPr>
        <w:t> </w:t>
      </w:r>
      <w:r>
        <w:rPr>
          <w:sz w:val="24"/>
        </w:rPr>
        <w:t>représente</w:t>
      </w:r>
      <w:r>
        <w:rPr>
          <w:spacing w:val="-12"/>
          <w:sz w:val="24"/>
        </w:rPr>
        <w:t> </w:t>
      </w:r>
      <w:r>
        <w:rPr>
          <w:sz w:val="24"/>
        </w:rPr>
        <w:t>un</w:t>
      </w:r>
      <w:r>
        <w:rPr>
          <w:spacing w:val="-11"/>
          <w:sz w:val="24"/>
        </w:rPr>
        <w:t> </w:t>
      </w:r>
      <w:r>
        <w:rPr>
          <w:sz w:val="24"/>
        </w:rPr>
        <w:t>élément</w:t>
      </w:r>
      <w:r>
        <w:rPr>
          <w:spacing w:val="-10"/>
          <w:sz w:val="24"/>
        </w:rPr>
        <w:t> </w:t>
      </w:r>
      <w:r>
        <w:rPr>
          <w:sz w:val="24"/>
        </w:rPr>
        <w:t>supplémentaire.</w:t>
      </w:r>
      <w:r>
        <w:rPr>
          <w:spacing w:val="-7"/>
          <w:sz w:val="24"/>
        </w:rPr>
        <w:t> </w:t>
      </w:r>
      <w:r>
        <w:rPr>
          <w:sz w:val="24"/>
        </w:rPr>
        <w:t>Cette fusion de composants est inhabituelle et sera remarquée par les consommateurs. Ils s’en souviendront comme l’élément déterminant du signe. Cette expression est, dès lors, distinctive.</w:t>
      </w:r>
    </w:p>
    <w:p>
      <w:pPr>
        <w:pStyle w:val="ListParagraph"/>
        <w:numPr>
          <w:ilvl w:val="0"/>
          <w:numId w:val="2"/>
        </w:numPr>
        <w:tabs>
          <w:tab w:pos="1016" w:val="left" w:leader="none"/>
        </w:tabs>
        <w:spacing w:line="240" w:lineRule="auto" w:before="239" w:after="0"/>
        <w:ind w:left="1016" w:right="0" w:hanging="426"/>
        <w:jc w:val="both"/>
        <w:rPr>
          <w:sz w:val="24"/>
        </w:rPr>
      </w:pPr>
      <w:r>
        <w:rPr>
          <w:sz w:val="24"/>
        </w:rPr>
        <w:t>Les</w:t>
      </w:r>
      <w:r>
        <w:rPr>
          <w:spacing w:val="4"/>
          <w:sz w:val="24"/>
        </w:rPr>
        <w:t> </w:t>
      </w:r>
      <w:r>
        <w:rPr>
          <w:sz w:val="24"/>
        </w:rPr>
        <w:t>consommateurs</w:t>
      </w:r>
      <w:r>
        <w:rPr>
          <w:spacing w:val="4"/>
          <w:sz w:val="24"/>
        </w:rPr>
        <w:t> </w:t>
      </w:r>
      <w:r>
        <w:rPr>
          <w:sz w:val="24"/>
        </w:rPr>
        <w:t>interpréteront</w:t>
      </w:r>
      <w:r>
        <w:rPr>
          <w:spacing w:val="5"/>
          <w:sz w:val="24"/>
        </w:rPr>
        <w:t> </w:t>
      </w:r>
      <w:r>
        <w:rPr>
          <w:sz w:val="24"/>
        </w:rPr>
        <w:t>le</w:t>
      </w:r>
      <w:r>
        <w:rPr>
          <w:spacing w:val="3"/>
          <w:sz w:val="24"/>
        </w:rPr>
        <w:t> </w:t>
      </w:r>
      <w:r>
        <w:rPr>
          <w:sz w:val="24"/>
        </w:rPr>
        <w:t>signe</w:t>
      </w:r>
      <w:r>
        <w:rPr>
          <w:spacing w:val="5"/>
          <w:sz w:val="24"/>
        </w:rPr>
        <w:t> </w:t>
      </w:r>
      <w:r>
        <w:rPr>
          <w:sz w:val="24"/>
        </w:rPr>
        <w:t>contesté</w:t>
      </w:r>
      <w:r>
        <w:rPr>
          <w:spacing w:val="3"/>
          <w:sz w:val="24"/>
        </w:rPr>
        <w:t> </w:t>
      </w:r>
      <w:r>
        <w:rPr>
          <w:sz w:val="24"/>
        </w:rPr>
        <w:t>comme</w:t>
      </w:r>
      <w:r>
        <w:rPr>
          <w:spacing w:val="5"/>
          <w:sz w:val="24"/>
        </w:rPr>
        <w:t> </w:t>
      </w:r>
      <w:r>
        <w:rPr>
          <w:sz w:val="24"/>
        </w:rPr>
        <w:t>représentant</w:t>
      </w:r>
      <w:r>
        <w:rPr>
          <w:spacing w:val="5"/>
          <w:sz w:val="24"/>
        </w:rPr>
        <w:t> </w:t>
      </w:r>
      <w:r>
        <w:rPr>
          <w:sz w:val="24"/>
        </w:rPr>
        <w:t>soit</w:t>
      </w:r>
      <w:r>
        <w:rPr>
          <w:spacing w:val="5"/>
          <w:sz w:val="24"/>
        </w:rPr>
        <w:t> </w:t>
      </w:r>
      <w:r>
        <w:rPr>
          <w:sz w:val="24"/>
        </w:rPr>
        <w:t>la</w:t>
      </w:r>
      <w:r>
        <w:rPr>
          <w:spacing w:val="5"/>
          <w:sz w:val="24"/>
        </w:rPr>
        <w:t> </w:t>
      </w:r>
      <w:r>
        <w:rPr>
          <w:spacing w:val="-2"/>
          <w:sz w:val="24"/>
        </w:rPr>
        <w:t>lettre</w:t>
      </w:r>
    </w:p>
    <w:p>
      <w:pPr>
        <w:pStyle w:val="BodyText"/>
        <w:spacing w:before="1"/>
        <w:ind w:left="1017" w:right="161"/>
        <w:jc w:val="both"/>
      </w:pPr>
      <w:r>
        <w:rPr/>
        <w:t>«m» soit la lettre «n». Compte tenu du fait que la lettre «n» est également présente dans</w:t>
      </w:r>
      <w:r>
        <w:rPr>
          <w:spacing w:val="-15"/>
        </w:rPr>
        <w:t> </w:t>
      </w:r>
      <w:r>
        <w:rPr/>
        <w:t>la</w:t>
      </w:r>
      <w:r>
        <w:rPr>
          <w:spacing w:val="-15"/>
        </w:rPr>
        <w:t> </w:t>
      </w:r>
      <w:r>
        <w:rPr/>
        <w:t>marque</w:t>
      </w:r>
      <w:r>
        <w:rPr>
          <w:spacing w:val="-15"/>
        </w:rPr>
        <w:t> </w:t>
      </w:r>
      <w:r>
        <w:rPr/>
        <w:t>antérieure</w:t>
      </w:r>
      <w:r>
        <w:rPr>
          <w:spacing w:val="-14"/>
        </w:rPr>
        <w:t> </w:t>
      </w:r>
      <w:r>
        <w:rPr/>
        <w:t>no</w:t>
      </w:r>
      <w:r>
        <w:rPr>
          <w:spacing w:val="-15"/>
        </w:rPr>
        <w:t> </w:t>
      </w:r>
      <w:r>
        <w:rPr/>
        <w:t>2,</w:t>
      </w:r>
      <w:r>
        <w:rPr>
          <w:spacing w:val="-15"/>
        </w:rPr>
        <w:t> </w:t>
      </w:r>
      <w:r>
        <w:rPr/>
        <w:t>la</w:t>
      </w:r>
      <w:r>
        <w:rPr>
          <w:spacing w:val="-15"/>
        </w:rPr>
        <w:t> </w:t>
      </w:r>
      <w:r>
        <w:rPr/>
        <w:t>division</w:t>
      </w:r>
      <w:r>
        <w:rPr>
          <w:spacing w:val="-15"/>
        </w:rPr>
        <w:t> </w:t>
      </w:r>
      <w:r>
        <w:rPr/>
        <w:t>d’opposition</w:t>
      </w:r>
      <w:r>
        <w:rPr>
          <w:spacing w:val="-15"/>
        </w:rPr>
        <w:t> </w:t>
      </w:r>
      <w:r>
        <w:rPr/>
        <w:t>a</w:t>
      </w:r>
      <w:r>
        <w:rPr>
          <w:spacing w:val="-15"/>
        </w:rPr>
        <w:t> </w:t>
      </w:r>
      <w:r>
        <w:rPr/>
        <w:t>jugé</w:t>
      </w:r>
      <w:r>
        <w:rPr>
          <w:spacing w:val="-14"/>
        </w:rPr>
        <w:t> </w:t>
      </w:r>
      <w:r>
        <w:rPr/>
        <w:t>approprié</w:t>
      </w:r>
      <w:r>
        <w:rPr>
          <w:spacing w:val="-14"/>
        </w:rPr>
        <w:t> </w:t>
      </w:r>
      <w:r>
        <w:rPr/>
        <w:t>de</w:t>
      </w:r>
      <w:r>
        <w:rPr>
          <w:spacing w:val="-15"/>
        </w:rPr>
        <w:t> </w:t>
      </w:r>
      <w:r>
        <w:rPr/>
        <w:t>concentrer son analyse de la similitude des signes sur la partie non négligeable du public qui percevra la lettre «n». Même si ce scénario est beaucoup moins probable, il ne peut être totalement écarté et il représente le scénario le plus favorable pour l’opposante étant donné que la coïncidence qui en résulte au niveau de cette lettre augmentera le risque de confusion.</w:t>
      </w:r>
    </w:p>
    <w:p>
      <w:pPr>
        <w:pStyle w:val="ListParagraph"/>
        <w:numPr>
          <w:ilvl w:val="0"/>
          <w:numId w:val="2"/>
        </w:numPr>
        <w:tabs>
          <w:tab w:pos="1015" w:val="left" w:leader="none"/>
          <w:tab w:pos="1017" w:val="left" w:leader="none"/>
        </w:tabs>
        <w:spacing w:line="240" w:lineRule="auto" w:before="238" w:after="0"/>
        <w:ind w:left="1017" w:right="165" w:hanging="428"/>
        <w:jc w:val="both"/>
        <w:rPr>
          <w:sz w:val="24"/>
        </w:rPr>
      </w:pPr>
      <w:r>
        <w:rPr>
          <w:sz w:val="24"/>
        </w:rPr>
        <w:t>Contrairement</w:t>
      </w:r>
      <w:r>
        <w:rPr>
          <w:spacing w:val="-1"/>
          <w:sz w:val="24"/>
        </w:rPr>
        <w:t> </w:t>
      </w:r>
      <w:r>
        <w:rPr>
          <w:sz w:val="24"/>
        </w:rPr>
        <w:t>à</w:t>
      </w:r>
      <w:r>
        <w:rPr>
          <w:spacing w:val="-2"/>
          <w:sz w:val="24"/>
        </w:rPr>
        <w:t> </w:t>
      </w:r>
      <w:r>
        <w:rPr>
          <w:sz w:val="24"/>
        </w:rPr>
        <w:t>la</w:t>
      </w:r>
      <w:r>
        <w:rPr>
          <w:spacing w:val="-2"/>
          <w:sz w:val="24"/>
        </w:rPr>
        <w:t> </w:t>
      </w:r>
      <w:r>
        <w:rPr>
          <w:sz w:val="24"/>
        </w:rPr>
        <w:t>marque</w:t>
      </w:r>
      <w:r>
        <w:rPr>
          <w:spacing w:val="-2"/>
          <w:sz w:val="24"/>
        </w:rPr>
        <w:t> </w:t>
      </w:r>
      <w:r>
        <w:rPr>
          <w:sz w:val="24"/>
        </w:rPr>
        <w:t>antérieure</w:t>
      </w:r>
      <w:r>
        <w:rPr>
          <w:spacing w:val="-2"/>
          <w:sz w:val="24"/>
        </w:rPr>
        <w:t> </w:t>
      </w:r>
      <w:r>
        <w:rPr>
          <w:sz w:val="24"/>
        </w:rPr>
        <w:t>no</w:t>
      </w:r>
      <w:r>
        <w:rPr>
          <w:spacing w:val="-1"/>
          <w:sz w:val="24"/>
        </w:rPr>
        <w:t> </w:t>
      </w:r>
      <w:r>
        <w:rPr>
          <w:sz w:val="24"/>
        </w:rPr>
        <w:t>2,</w:t>
      </w:r>
      <w:r>
        <w:rPr>
          <w:spacing w:val="-1"/>
          <w:sz w:val="24"/>
        </w:rPr>
        <w:t> </w:t>
      </w:r>
      <w:r>
        <w:rPr>
          <w:sz w:val="24"/>
        </w:rPr>
        <w:t>la</w:t>
      </w:r>
      <w:r>
        <w:rPr>
          <w:spacing w:val="-2"/>
          <w:sz w:val="24"/>
        </w:rPr>
        <w:t> </w:t>
      </w:r>
      <w:r>
        <w:rPr>
          <w:sz w:val="24"/>
        </w:rPr>
        <w:t>lettre «n»</w:t>
      </w:r>
      <w:r>
        <w:rPr>
          <w:spacing w:val="-6"/>
          <w:sz w:val="24"/>
        </w:rPr>
        <w:t> </w:t>
      </w:r>
      <w:r>
        <w:rPr>
          <w:sz w:val="24"/>
        </w:rPr>
        <w:t>du</w:t>
      </w:r>
      <w:r>
        <w:rPr>
          <w:spacing w:val="-1"/>
          <w:sz w:val="24"/>
        </w:rPr>
        <w:t> </w:t>
      </w:r>
      <w:r>
        <w:rPr>
          <w:sz w:val="24"/>
        </w:rPr>
        <w:t>signe</w:t>
      </w:r>
      <w:r>
        <w:rPr>
          <w:spacing w:val="-2"/>
          <w:sz w:val="24"/>
        </w:rPr>
        <w:t> </w:t>
      </w:r>
      <w:r>
        <w:rPr>
          <w:sz w:val="24"/>
        </w:rPr>
        <w:t>contesté</w:t>
      </w:r>
      <w:r>
        <w:rPr>
          <w:spacing w:val="-2"/>
          <w:sz w:val="24"/>
        </w:rPr>
        <w:t> </w:t>
      </w:r>
      <w:r>
        <w:rPr>
          <w:sz w:val="24"/>
        </w:rPr>
        <w:t>ne</w:t>
      </w:r>
      <w:r>
        <w:rPr>
          <w:spacing w:val="-2"/>
          <w:sz w:val="24"/>
        </w:rPr>
        <w:t> </w:t>
      </w:r>
      <w:r>
        <w:rPr>
          <w:sz w:val="24"/>
        </w:rPr>
        <w:t>sera</w:t>
      </w:r>
      <w:r>
        <w:rPr>
          <w:spacing w:val="-3"/>
          <w:sz w:val="24"/>
        </w:rPr>
        <w:t> </w:t>
      </w:r>
      <w:r>
        <w:rPr>
          <w:sz w:val="24"/>
        </w:rPr>
        <w:t>pas interprétée</w:t>
      </w:r>
      <w:r>
        <w:rPr>
          <w:spacing w:val="-1"/>
          <w:sz w:val="24"/>
        </w:rPr>
        <w:t> </w:t>
      </w:r>
      <w:r>
        <w:rPr>
          <w:sz w:val="24"/>
        </w:rPr>
        <w:t>comme</w:t>
      </w:r>
      <w:r>
        <w:rPr>
          <w:spacing w:val="-1"/>
          <w:sz w:val="24"/>
        </w:rPr>
        <w:t> </w:t>
      </w:r>
      <w:r>
        <w:rPr>
          <w:sz w:val="24"/>
        </w:rPr>
        <w:t>signifiant «nombre». En effet, le signe «°»</w:t>
      </w:r>
      <w:r>
        <w:rPr>
          <w:spacing w:val="-5"/>
          <w:sz w:val="24"/>
        </w:rPr>
        <w:t> </w:t>
      </w:r>
      <w:r>
        <w:rPr>
          <w:sz w:val="24"/>
        </w:rPr>
        <w:t>est dépourvu du degré de similitude et est fusionné de manière inhabituelle avec le nombre «5».</w:t>
      </w:r>
    </w:p>
    <w:p>
      <w:pPr>
        <w:pStyle w:val="ListParagraph"/>
        <w:numPr>
          <w:ilvl w:val="0"/>
          <w:numId w:val="2"/>
        </w:numPr>
        <w:tabs>
          <w:tab w:pos="1015" w:val="left" w:leader="none"/>
          <w:tab w:pos="1017" w:val="left" w:leader="none"/>
        </w:tabs>
        <w:spacing w:line="240" w:lineRule="auto" w:before="241" w:after="0"/>
        <w:ind w:left="1017" w:right="160" w:hanging="428"/>
        <w:jc w:val="both"/>
        <w:rPr>
          <w:sz w:val="24"/>
        </w:rPr>
      </w:pPr>
      <w:r>
        <w:rPr>
          <w:sz w:val="24"/>
        </w:rPr>
        <w:t>Tous</w:t>
      </w:r>
      <w:r>
        <w:rPr>
          <w:spacing w:val="-15"/>
          <w:sz w:val="24"/>
        </w:rPr>
        <w:t> </w:t>
      </w:r>
      <w:r>
        <w:rPr>
          <w:sz w:val="24"/>
        </w:rPr>
        <w:t>les</w:t>
      </w:r>
      <w:r>
        <w:rPr>
          <w:spacing w:val="-15"/>
          <w:sz w:val="24"/>
        </w:rPr>
        <w:t> </w:t>
      </w:r>
      <w:r>
        <w:rPr>
          <w:sz w:val="24"/>
        </w:rPr>
        <w:t>signes</w:t>
      </w:r>
      <w:r>
        <w:rPr>
          <w:spacing w:val="-15"/>
          <w:sz w:val="24"/>
        </w:rPr>
        <w:t> </w:t>
      </w:r>
      <w:r>
        <w:rPr>
          <w:sz w:val="24"/>
        </w:rPr>
        <w:t>contiennent</w:t>
      </w:r>
      <w:r>
        <w:rPr>
          <w:spacing w:val="-15"/>
          <w:sz w:val="24"/>
        </w:rPr>
        <w:t> </w:t>
      </w:r>
      <w:r>
        <w:rPr>
          <w:sz w:val="24"/>
        </w:rPr>
        <w:t>des</w:t>
      </w:r>
      <w:r>
        <w:rPr>
          <w:spacing w:val="-15"/>
          <w:sz w:val="24"/>
        </w:rPr>
        <w:t> </w:t>
      </w:r>
      <w:r>
        <w:rPr>
          <w:sz w:val="24"/>
        </w:rPr>
        <w:t>chiffres.</w:t>
      </w:r>
      <w:r>
        <w:rPr>
          <w:spacing w:val="-15"/>
          <w:sz w:val="24"/>
        </w:rPr>
        <w:t> </w:t>
      </w:r>
      <w:r>
        <w:rPr>
          <w:sz w:val="24"/>
        </w:rPr>
        <w:t>Certaines</w:t>
      </w:r>
      <w:r>
        <w:rPr>
          <w:spacing w:val="-15"/>
          <w:sz w:val="24"/>
        </w:rPr>
        <w:t> </w:t>
      </w:r>
      <w:r>
        <w:rPr>
          <w:sz w:val="24"/>
        </w:rPr>
        <w:t>d’entre</w:t>
      </w:r>
      <w:r>
        <w:rPr>
          <w:spacing w:val="-15"/>
          <w:sz w:val="24"/>
        </w:rPr>
        <w:t> </w:t>
      </w:r>
      <w:r>
        <w:rPr>
          <w:sz w:val="24"/>
        </w:rPr>
        <w:t>elles</w:t>
      </w:r>
      <w:r>
        <w:rPr>
          <w:spacing w:val="-15"/>
          <w:sz w:val="24"/>
        </w:rPr>
        <w:t> </w:t>
      </w:r>
      <w:r>
        <w:rPr>
          <w:sz w:val="24"/>
        </w:rPr>
        <w:t>contiennent</w:t>
      </w:r>
      <w:r>
        <w:rPr>
          <w:spacing w:val="-15"/>
          <w:sz w:val="24"/>
        </w:rPr>
        <w:t> </w:t>
      </w:r>
      <w:r>
        <w:rPr>
          <w:sz w:val="24"/>
        </w:rPr>
        <w:t>également des</w:t>
      </w:r>
      <w:r>
        <w:rPr>
          <w:spacing w:val="-10"/>
          <w:sz w:val="24"/>
        </w:rPr>
        <w:t> </w:t>
      </w:r>
      <w:r>
        <w:rPr>
          <w:sz w:val="24"/>
        </w:rPr>
        <w:t>lettres.</w:t>
      </w:r>
      <w:r>
        <w:rPr>
          <w:spacing w:val="-8"/>
          <w:sz w:val="24"/>
        </w:rPr>
        <w:t> </w:t>
      </w:r>
      <w:r>
        <w:rPr>
          <w:sz w:val="24"/>
        </w:rPr>
        <w:t>La</w:t>
      </w:r>
      <w:r>
        <w:rPr>
          <w:spacing w:val="-12"/>
          <w:sz w:val="24"/>
        </w:rPr>
        <w:t> </w:t>
      </w:r>
      <w:r>
        <w:rPr>
          <w:sz w:val="24"/>
        </w:rPr>
        <w:t>notion</w:t>
      </w:r>
      <w:r>
        <w:rPr>
          <w:spacing w:val="-11"/>
          <w:sz w:val="24"/>
        </w:rPr>
        <w:t> </w:t>
      </w:r>
      <w:r>
        <w:rPr>
          <w:sz w:val="24"/>
        </w:rPr>
        <w:t>de</w:t>
      </w:r>
      <w:r>
        <w:rPr>
          <w:spacing w:val="-12"/>
          <w:sz w:val="24"/>
        </w:rPr>
        <w:t> </w:t>
      </w:r>
      <w:r>
        <w:rPr>
          <w:sz w:val="24"/>
        </w:rPr>
        <w:t>numéro</w:t>
      </w:r>
      <w:r>
        <w:rPr>
          <w:spacing w:val="-11"/>
          <w:sz w:val="24"/>
        </w:rPr>
        <w:t> </w:t>
      </w:r>
      <w:r>
        <w:rPr>
          <w:sz w:val="24"/>
        </w:rPr>
        <w:t>est</w:t>
      </w:r>
      <w:r>
        <w:rPr>
          <w:spacing w:val="-10"/>
          <w:sz w:val="24"/>
        </w:rPr>
        <w:t> </w:t>
      </w:r>
      <w:r>
        <w:rPr>
          <w:sz w:val="24"/>
        </w:rPr>
        <w:t>le</w:t>
      </w:r>
      <w:r>
        <w:rPr>
          <w:spacing w:val="-11"/>
          <w:sz w:val="24"/>
        </w:rPr>
        <w:t> </w:t>
      </w:r>
      <w:r>
        <w:rPr>
          <w:sz w:val="24"/>
        </w:rPr>
        <w:t>numéro</w:t>
      </w:r>
      <w:r>
        <w:rPr>
          <w:spacing w:val="-11"/>
          <w:sz w:val="24"/>
        </w:rPr>
        <w:t> </w:t>
      </w:r>
      <w:r>
        <w:rPr>
          <w:sz w:val="24"/>
        </w:rPr>
        <w:t>qu’il</w:t>
      </w:r>
      <w:r>
        <w:rPr>
          <w:spacing w:val="-10"/>
          <w:sz w:val="24"/>
        </w:rPr>
        <w:t> </w:t>
      </w:r>
      <w:r>
        <w:rPr>
          <w:sz w:val="24"/>
        </w:rPr>
        <w:t>identifie,</w:t>
      </w:r>
      <w:r>
        <w:rPr>
          <w:spacing w:val="-11"/>
          <w:sz w:val="24"/>
        </w:rPr>
        <w:t> </w:t>
      </w:r>
      <w:r>
        <w:rPr>
          <w:sz w:val="24"/>
        </w:rPr>
        <w:t>à</w:t>
      </w:r>
      <w:r>
        <w:rPr>
          <w:spacing w:val="-12"/>
          <w:sz w:val="24"/>
        </w:rPr>
        <w:t> </w:t>
      </w:r>
      <w:r>
        <w:rPr>
          <w:sz w:val="24"/>
        </w:rPr>
        <w:t>moins</w:t>
      </w:r>
      <w:r>
        <w:rPr>
          <w:spacing w:val="-10"/>
          <w:sz w:val="24"/>
        </w:rPr>
        <w:t> </w:t>
      </w:r>
      <w:r>
        <w:rPr>
          <w:sz w:val="24"/>
        </w:rPr>
        <w:t>qu’il</w:t>
      </w:r>
      <w:r>
        <w:rPr>
          <w:spacing w:val="-10"/>
          <w:sz w:val="24"/>
        </w:rPr>
        <w:t> </w:t>
      </w:r>
      <w:r>
        <w:rPr>
          <w:sz w:val="24"/>
        </w:rPr>
        <w:t>ne</w:t>
      </w:r>
      <w:r>
        <w:rPr>
          <w:spacing w:val="-12"/>
          <w:sz w:val="24"/>
        </w:rPr>
        <w:t> </w:t>
      </w:r>
      <w:r>
        <w:rPr>
          <w:sz w:val="24"/>
        </w:rPr>
        <w:t>suggère un</w:t>
      </w:r>
      <w:r>
        <w:rPr>
          <w:spacing w:val="-6"/>
          <w:sz w:val="24"/>
        </w:rPr>
        <w:t> </w:t>
      </w:r>
      <w:r>
        <w:rPr>
          <w:sz w:val="24"/>
        </w:rPr>
        <w:t>autre</w:t>
      </w:r>
      <w:r>
        <w:rPr>
          <w:spacing w:val="-7"/>
          <w:sz w:val="24"/>
        </w:rPr>
        <w:t> </w:t>
      </w:r>
      <w:r>
        <w:rPr>
          <w:sz w:val="24"/>
        </w:rPr>
        <w:t>concept,</w:t>
      </w:r>
      <w:r>
        <w:rPr>
          <w:spacing w:val="-5"/>
          <w:sz w:val="24"/>
        </w:rPr>
        <w:t> </w:t>
      </w:r>
      <w:r>
        <w:rPr>
          <w:sz w:val="24"/>
        </w:rPr>
        <w:t>tel</w:t>
      </w:r>
      <w:r>
        <w:rPr>
          <w:spacing w:val="-6"/>
          <w:sz w:val="24"/>
        </w:rPr>
        <w:t> </w:t>
      </w:r>
      <w:r>
        <w:rPr>
          <w:sz w:val="24"/>
        </w:rPr>
        <w:t>qu’une</w:t>
      </w:r>
      <w:r>
        <w:rPr>
          <w:spacing w:val="-7"/>
          <w:sz w:val="24"/>
        </w:rPr>
        <w:t> </w:t>
      </w:r>
      <w:r>
        <w:rPr>
          <w:sz w:val="24"/>
        </w:rPr>
        <w:t>année</w:t>
      </w:r>
      <w:r>
        <w:rPr>
          <w:spacing w:val="-7"/>
          <w:sz w:val="24"/>
        </w:rPr>
        <w:t> </w:t>
      </w:r>
      <w:r>
        <w:rPr>
          <w:sz w:val="24"/>
        </w:rPr>
        <w:t>spécifique.</w:t>
      </w:r>
      <w:r>
        <w:rPr>
          <w:spacing w:val="-6"/>
          <w:sz w:val="24"/>
        </w:rPr>
        <w:t> </w:t>
      </w:r>
      <w:r>
        <w:rPr>
          <w:sz w:val="24"/>
        </w:rPr>
        <w:t>En</w:t>
      </w:r>
      <w:r>
        <w:rPr>
          <w:spacing w:val="-3"/>
          <w:sz w:val="24"/>
        </w:rPr>
        <w:t> </w:t>
      </w:r>
      <w:r>
        <w:rPr>
          <w:sz w:val="24"/>
        </w:rPr>
        <w:t>effet,</w:t>
      </w:r>
      <w:r>
        <w:rPr>
          <w:spacing w:val="-5"/>
          <w:sz w:val="24"/>
        </w:rPr>
        <w:t> </w:t>
      </w:r>
      <w:r>
        <w:rPr>
          <w:sz w:val="24"/>
        </w:rPr>
        <w:t>les</w:t>
      </w:r>
      <w:r>
        <w:rPr>
          <w:spacing w:val="-6"/>
          <w:sz w:val="24"/>
        </w:rPr>
        <w:t> </w:t>
      </w:r>
      <w:r>
        <w:rPr>
          <w:sz w:val="24"/>
        </w:rPr>
        <w:t>signes</w:t>
      </w:r>
      <w:r>
        <w:rPr>
          <w:spacing w:val="-6"/>
          <w:sz w:val="24"/>
        </w:rPr>
        <w:t> </w:t>
      </w:r>
      <w:r>
        <w:rPr>
          <w:sz w:val="24"/>
        </w:rPr>
        <w:t>composés</w:t>
      </w:r>
      <w:r>
        <w:rPr>
          <w:spacing w:val="-4"/>
          <w:sz w:val="24"/>
        </w:rPr>
        <w:t> </w:t>
      </w:r>
      <w:r>
        <w:rPr>
          <w:sz w:val="24"/>
        </w:rPr>
        <w:t>de</w:t>
      </w:r>
      <w:r>
        <w:rPr>
          <w:spacing w:val="-4"/>
          <w:sz w:val="24"/>
        </w:rPr>
        <w:t> </w:t>
      </w:r>
      <w:r>
        <w:rPr>
          <w:sz w:val="24"/>
        </w:rPr>
        <w:t>lettres uniques</w:t>
      </w:r>
      <w:r>
        <w:rPr>
          <w:spacing w:val="-11"/>
          <w:sz w:val="24"/>
        </w:rPr>
        <w:t> </w:t>
      </w:r>
      <w:r>
        <w:rPr>
          <w:sz w:val="24"/>
        </w:rPr>
        <w:t>ont</w:t>
      </w:r>
      <w:r>
        <w:rPr>
          <w:spacing w:val="-10"/>
          <w:sz w:val="24"/>
        </w:rPr>
        <w:t> </w:t>
      </w:r>
      <w:r>
        <w:rPr>
          <w:sz w:val="24"/>
        </w:rPr>
        <w:t>la</w:t>
      </w:r>
      <w:r>
        <w:rPr>
          <w:spacing w:val="-11"/>
          <w:sz w:val="24"/>
        </w:rPr>
        <w:t> </w:t>
      </w:r>
      <w:r>
        <w:rPr>
          <w:sz w:val="24"/>
        </w:rPr>
        <w:t>capacité</w:t>
      </w:r>
      <w:r>
        <w:rPr>
          <w:spacing w:val="-12"/>
          <w:sz w:val="24"/>
        </w:rPr>
        <w:t> </w:t>
      </w:r>
      <w:r>
        <w:rPr>
          <w:sz w:val="24"/>
        </w:rPr>
        <w:t>d’évoquer</w:t>
      </w:r>
      <w:r>
        <w:rPr>
          <w:spacing w:val="-11"/>
          <w:sz w:val="24"/>
        </w:rPr>
        <w:t> </w:t>
      </w:r>
      <w:r>
        <w:rPr>
          <w:sz w:val="24"/>
        </w:rPr>
        <w:t>et</w:t>
      </w:r>
      <w:r>
        <w:rPr>
          <w:spacing w:val="-10"/>
          <w:sz w:val="24"/>
        </w:rPr>
        <w:t> </w:t>
      </w:r>
      <w:r>
        <w:rPr>
          <w:sz w:val="24"/>
        </w:rPr>
        <w:t>de</w:t>
      </w:r>
      <w:r>
        <w:rPr>
          <w:spacing w:val="-12"/>
          <w:sz w:val="24"/>
        </w:rPr>
        <w:t> </w:t>
      </w:r>
      <w:r>
        <w:rPr>
          <w:sz w:val="24"/>
        </w:rPr>
        <w:t>représenter</w:t>
      </w:r>
      <w:r>
        <w:rPr>
          <w:spacing w:val="-9"/>
          <w:sz w:val="24"/>
        </w:rPr>
        <w:t> </w:t>
      </w:r>
      <w:r>
        <w:rPr>
          <w:sz w:val="24"/>
        </w:rPr>
        <w:t>une</w:t>
      </w:r>
      <w:r>
        <w:rPr>
          <w:spacing w:val="-12"/>
          <w:sz w:val="24"/>
        </w:rPr>
        <w:t> </w:t>
      </w:r>
      <w:r>
        <w:rPr>
          <w:sz w:val="24"/>
        </w:rPr>
        <w:t>idée</w:t>
      </w:r>
      <w:r>
        <w:rPr>
          <w:spacing w:val="-12"/>
          <w:sz w:val="24"/>
        </w:rPr>
        <w:t> </w:t>
      </w:r>
      <w:r>
        <w:rPr>
          <w:sz w:val="24"/>
        </w:rPr>
        <w:t>particulière,</w:t>
      </w:r>
      <w:r>
        <w:rPr>
          <w:spacing w:val="-11"/>
          <w:sz w:val="24"/>
        </w:rPr>
        <w:t> </w:t>
      </w:r>
      <w:r>
        <w:rPr>
          <w:sz w:val="24"/>
        </w:rPr>
        <w:t>à</w:t>
      </w:r>
      <w:r>
        <w:rPr>
          <w:spacing w:val="-12"/>
          <w:sz w:val="24"/>
        </w:rPr>
        <w:t> </w:t>
      </w:r>
      <w:r>
        <w:rPr>
          <w:sz w:val="24"/>
        </w:rPr>
        <w:t>savoir</w:t>
      </w:r>
      <w:r>
        <w:rPr>
          <w:spacing w:val="-11"/>
          <w:sz w:val="24"/>
        </w:rPr>
        <w:t> </w:t>
      </w:r>
      <w:r>
        <w:rPr>
          <w:sz w:val="24"/>
        </w:rPr>
        <w:t>celle d’une lettre spécifique. Par conséquent, en principe, les signes perçus comme une lettre</w:t>
      </w:r>
      <w:r>
        <w:rPr>
          <w:spacing w:val="-7"/>
          <w:sz w:val="24"/>
        </w:rPr>
        <w:t> </w:t>
      </w:r>
      <w:r>
        <w:rPr>
          <w:sz w:val="24"/>
        </w:rPr>
        <w:t>de</w:t>
      </w:r>
      <w:r>
        <w:rPr>
          <w:spacing w:val="-7"/>
          <w:sz w:val="24"/>
        </w:rPr>
        <w:t> </w:t>
      </w:r>
      <w:r>
        <w:rPr>
          <w:sz w:val="24"/>
        </w:rPr>
        <w:t>l’alphabet</w:t>
      </w:r>
      <w:r>
        <w:rPr>
          <w:spacing w:val="-5"/>
          <w:sz w:val="24"/>
        </w:rPr>
        <w:t> </w:t>
      </w:r>
      <w:r>
        <w:rPr>
          <w:sz w:val="24"/>
        </w:rPr>
        <w:t>ne</w:t>
      </w:r>
      <w:r>
        <w:rPr>
          <w:spacing w:val="-7"/>
          <w:sz w:val="24"/>
        </w:rPr>
        <w:t> </w:t>
      </w:r>
      <w:r>
        <w:rPr>
          <w:sz w:val="24"/>
        </w:rPr>
        <w:t>sont</w:t>
      </w:r>
      <w:r>
        <w:rPr>
          <w:spacing w:val="-5"/>
          <w:sz w:val="24"/>
        </w:rPr>
        <w:t> </w:t>
      </w:r>
      <w:r>
        <w:rPr>
          <w:sz w:val="24"/>
        </w:rPr>
        <w:t>susceptibles</w:t>
      </w:r>
      <w:r>
        <w:rPr>
          <w:spacing w:val="-6"/>
          <w:sz w:val="24"/>
        </w:rPr>
        <w:t> </w:t>
      </w:r>
      <w:r>
        <w:rPr>
          <w:sz w:val="24"/>
        </w:rPr>
        <w:t>que</w:t>
      </w:r>
      <w:r>
        <w:rPr>
          <w:spacing w:val="-7"/>
          <w:sz w:val="24"/>
        </w:rPr>
        <w:t> </w:t>
      </w:r>
      <w:r>
        <w:rPr>
          <w:sz w:val="24"/>
        </w:rPr>
        <w:t>de</w:t>
      </w:r>
      <w:r>
        <w:rPr>
          <w:spacing w:val="-7"/>
          <w:sz w:val="24"/>
        </w:rPr>
        <w:t> </w:t>
      </w:r>
      <w:r>
        <w:rPr>
          <w:sz w:val="24"/>
        </w:rPr>
        <w:t>véhiculer</w:t>
      </w:r>
      <w:r>
        <w:rPr>
          <w:spacing w:val="-7"/>
          <w:sz w:val="24"/>
        </w:rPr>
        <w:t> </w:t>
      </w:r>
      <w:r>
        <w:rPr>
          <w:sz w:val="24"/>
        </w:rPr>
        <w:t>le</w:t>
      </w:r>
      <w:r>
        <w:rPr>
          <w:spacing w:val="-2"/>
          <w:sz w:val="24"/>
        </w:rPr>
        <w:t> </w:t>
      </w:r>
      <w:r>
        <w:rPr>
          <w:sz w:val="24"/>
        </w:rPr>
        <w:t>«concept</w:t>
      </w:r>
      <w:r>
        <w:rPr>
          <w:spacing w:val="-3"/>
          <w:sz w:val="24"/>
        </w:rPr>
        <w:t> </w:t>
      </w:r>
      <w:r>
        <w:rPr>
          <w:sz w:val="24"/>
        </w:rPr>
        <w:t>générique»</w:t>
      </w:r>
      <w:r>
        <w:rPr>
          <w:spacing w:val="-13"/>
          <w:sz w:val="24"/>
        </w:rPr>
        <w:t> </w:t>
      </w:r>
      <w:r>
        <w:rPr>
          <w:sz w:val="24"/>
        </w:rPr>
        <w:t>de</w:t>
      </w:r>
      <w:r>
        <w:rPr>
          <w:spacing w:val="-7"/>
          <w:sz w:val="24"/>
        </w:rPr>
        <w:t> </w:t>
      </w:r>
      <w:r>
        <w:rPr>
          <w:sz w:val="24"/>
        </w:rPr>
        <w:t>la lettre spécifique &amp;bra; 26/03/2021, R 551/2018 G, Device (fig.)/Device (fig.), § 78, 85 &amp;ket;.</w:t>
      </w:r>
    </w:p>
    <w:p>
      <w:pPr>
        <w:pStyle w:val="ListParagraph"/>
        <w:numPr>
          <w:ilvl w:val="0"/>
          <w:numId w:val="2"/>
        </w:numPr>
        <w:tabs>
          <w:tab w:pos="1015" w:val="left" w:leader="none"/>
          <w:tab w:pos="1017" w:val="left" w:leader="none"/>
        </w:tabs>
        <w:spacing w:line="240" w:lineRule="auto" w:before="240" w:after="0"/>
        <w:ind w:left="1017" w:right="159" w:hanging="428"/>
        <w:jc w:val="both"/>
        <w:rPr>
          <w:sz w:val="24"/>
        </w:rPr>
      </w:pPr>
      <w:r>
        <w:rPr>
          <w:sz w:val="24"/>
        </w:rPr>
        <w:t>Toutefois, le simple fait qu’il existe un terme générique incluant les termes utilisés pour</w:t>
      </w:r>
      <w:r>
        <w:rPr>
          <w:spacing w:val="-1"/>
          <w:sz w:val="24"/>
        </w:rPr>
        <w:t> </w:t>
      </w:r>
      <w:r>
        <w:rPr>
          <w:sz w:val="24"/>
        </w:rPr>
        <w:t>décrire</w:t>
      </w:r>
      <w:r>
        <w:rPr>
          <w:spacing w:val="-1"/>
          <w:sz w:val="24"/>
        </w:rPr>
        <w:t> </w:t>
      </w:r>
      <w:r>
        <w:rPr>
          <w:sz w:val="24"/>
        </w:rPr>
        <w:t>le</w:t>
      </w:r>
      <w:r>
        <w:rPr>
          <w:spacing w:val="-1"/>
          <w:sz w:val="24"/>
        </w:rPr>
        <w:t> </w:t>
      </w:r>
      <w:r>
        <w:rPr>
          <w:sz w:val="24"/>
        </w:rPr>
        <w:t>contenu sémantique</w:t>
      </w:r>
      <w:r>
        <w:rPr>
          <w:spacing w:val="-1"/>
          <w:sz w:val="24"/>
        </w:rPr>
        <w:t> </w:t>
      </w:r>
      <w:r>
        <w:rPr>
          <w:sz w:val="24"/>
        </w:rPr>
        <w:t>des signes en cause</w:t>
      </w:r>
      <w:r>
        <w:rPr>
          <w:spacing w:val="-1"/>
          <w:sz w:val="24"/>
        </w:rPr>
        <w:t> </w:t>
      </w:r>
      <w:r>
        <w:rPr>
          <w:sz w:val="24"/>
        </w:rPr>
        <w:t>n’est pas un facteur</w:t>
      </w:r>
      <w:r>
        <w:rPr>
          <w:spacing w:val="-1"/>
          <w:sz w:val="24"/>
        </w:rPr>
        <w:t> </w:t>
      </w:r>
      <w:r>
        <w:rPr>
          <w:sz w:val="24"/>
        </w:rPr>
        <w:t>pertinent dans le cadre de la comparaison conceptuelle &amp;bra; 31/01/2019, T-215/17, PEAR (fig.)/APPLE BITE (fig.) et al., EU:T:2019:45, § 69 &amp;ket;. Les mêmes règles s’appliquent aux numéros.</w:t>
      </w:r>
    </w:p>
    <w:p>
      <w:pPr>
        <w:pStyle w:val="ListParagraph"/>
        <w:numPr>
          <w:ilvl w:val="0"/>
          <w:numId w:val="2"/>
        </w:numPr>
        <w:tabs>
          <w:tab w:pos="1015" w:val="left" w:leader="none"/>
          <w:tab w:pos="1017" w:val="left" w:leader="none"/>
        </w:tabs>
        <w:spacing w:line="240" w:lineRule="auto" w:before="239" w:after="0"/>
        <w:ind w:left="1017" w:right="165" w:hanging="428"/>
        <w:jc w:val="both"/>
        <w:rPr>
          <w:sz w:val="24"/>
        </w:rPr>
      </w:pPr>
      <w:r>
        <w:rPr>
          <w:sz w:val="24"/>
        </w:rPr>
        <w:t>En l’espèce, les signes comparés véhiculent le concept générique du nombre «5», auquel le signe contesté ajoute le concept générique de la lettre «n».</w:t>
      </w:r>
    </w:p>
    <w:p>
      <w:pPr>
        <w:pStyle w:val="BodyText"/>
        <w:rPr>
          <w:sz w:val="18"/>
        </w:rPr>
      </w:pPr>
    </w:p>
    <w:p>
      <w:pPr>
        <w:pStyle w:val="BodyText"/>
        <w:rPr>
          <w:sz w:val="18"/>
        </w:rPr>
      </w:pPr>
    </w:p>
    <w:p>
      <w:pPr>
        <w:pStyle w:val="BodyText"/>
        <w:spacing w:before="46"/>
        <w:rPr>
          <w:sz w:val="18"/>
        </w:rPr>
      </w:pPr>
    </w:p>
    <w:p>
      <w:pPr>
        <w:spacing w:before="0"/>
        <w:ind w:left="2737" w:right="2738" w:firstLine="0"/>
        <w:jc w:val="center"/>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p>
      <w:pPr>
        <w:spacing w:after="0"/>
        <w:jc w:val="center"/>
        <w:rPr>
          <w:sz w:val="18"/>
        </w:rPr>
        <w:sectPr>
          <w:pgSz w:w="11910" w:h="16840"/>
          <w:pgMar w:header="970" w:footer="0" w:top="1180" w:bottom="280" w:left="1275" w:right="1275"/>
        </w:sectPr>
      </w:pPr>
    </w:p>
    <w:p>
      <w:pPr>
        <w:pStyle w:val="ListParagraph"/>
        <w:numPr>
          <w:ilvl w:val="0"/>
          <w:numId w:val="2"/>
        </w:numPr>
        <w:tabs>
          <w:tab w:pos="1015" w:val="left" w:leader="none"/>
          <w:tab w:pos="1017" w:val="left" w:leader="none"/>
        </w:tabs>
        <w:spacing w:line="240" w:lineRule="auto" w:before="249" w:after="0"/>
        <w:ind w:left="1017" w:right="163" w:hanging="428"/>
        <w:jc w:val="both"/>
        <w:rPr>
          <w:sz w:val="24"/>
        </w:rPr>
      </w:pPr>
      <w:r>
        <w:rPr>
          <w:sz w:val="24"/>
        </w:rPr>
        <mc:AlternateContent>
          <mc:Choice Requires="wps">
            <w:drawing>
              <wp:anchor distT="0" distB="0" distL="0" distR="0" allowOverlap="1" layoutInCell="1" locked="0" behindDoc="0" simplePos="0" relativeHeight="15732736">
                <wp:simplePos x="0" y="0"/>
                <wp:positionH relativeFrom="page">
                  <wp:posOffset>270575</wp:posOffset>
                </wp:positionH>
                <wp:positionV relativeFrom="page">
                  <wp:posOffset>1114363</wp:posOffset>
                </wp:positionV>
                <wp:extent cx="146050" cy="921004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46050" cy="9210040"/>
                        </a:xfrm>
                        <a:prstGeom prst="rect">
                          <a:avLst/>
                        </a:prstGeom>
                      </wps:spPr>
                      <wps:txbx>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wps:txbx>
                      <wps:bodyPr wrap="square" lIns="0" tIns="0" rIns="0" bIns="0" rtlCol="0" vert="vert270">
                        <a:noAutofit/>
                      </wps:bodyPr>
                    </wps:wsp>
                  </a:graphicData>
                </a:graphic>
              </wp:anchor>
            </w:drawing>
          </mc:Choice>
          <mc:Fallback>
            <w:pict>
              <v:shape style="position:absolute;margin-left:21.305176pt;margin-top:87.745193pt;width:11.5pt;height:725.2pt;mso-position-horizontal-relative:page;mso-position-vertical-relative:page;z-index:15732736" type="#_x0000_t202" id="docshape8" filled="false" stroked="false">
                <v:textbox inset="0,0,0,0" style="layout-flow:vertical;mso-layout-flow-alt:bottom-to-top">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v:textbox>
                <w10:wrap type="none"/>
              </v:shape>
            </w:pict>
          </mc:Fallback>
        </mc:AlternateContent>
      </w:r>
      <w:r>
        <w:rPr>
          <w:sz w:val="24"/>
        </w:rPr>
        <w:t>Aucun</w:t>
      </w:r>
      <w:r>
        <w:rPr>
          <w:spacing w:val="-8"/>
          <w:sz w:val="24"/>
        </w:rPr>
        <w:t> </w:t>
      </w:r>
      <w:r>
        <w:rPr>
          <w:sz w:val="24"/>
        </w:rPr>
        <w:t>de</w:t>
      </w:r>
      <w:r>
        <w:rPr>
          <w:spacing w:val="-9"/>
          <w:sz w:val="24"/>
        </w:rPr>
        <w:t> </w:t>
      </w:r>
      <w:r>
        <w:rPr>
          <w:sz w:val="24"/>
        </w:rPr>
        <w:t>ces</w:t>
      </w:r>
      <w:r>
        <w:rPr>
          <w:spacing w:val="-6"/>
          <w:sz w:val="24"/>
        </w:rPr>
        <w:t> </w:t>
      </w:r>
      <w:r>
        <w:rPr>
          <w:sz w:val="24"/>
        </w:rPr>
        <w:t>concepts</w:t>
      </w:r>
      <w:r>
        <w:rPr>
          <w:spacing w:val="-8"/>
          <w:sz w:val="24"/>
        </w:rPr>
        <w:t> </w:t>
      </w:r>
      <w:r>
        <w:rPr>
          <w:sz w:val="24"/>
        </w:rPr>
        <w:t>n’a</w:t>
      </w:r>
      <w:r>
        <w:rPr>
          <w:spacing w:val="-9"/>
          <w:sz w:val="24"/>
        </w:rPr>
        <w:t> </w:t>
      </w:r>
      <w:r>
        <w:rPr>
          <w:sz w:val="24"/>
        </w:rPr>
        <w:t>de</w:t>
      </w:r>
      <w:r>
        <w:rPr>
          <w:spacing w:val="-9"/>
          <w:sz w:val="24"/>
        </w:rPr>
        <w:t> </w:t>
      </w:r>
      <w:r>
        <w:rPr>
          <w:sz w:val="24"/>
        </w:rPr>
        <w:t>rapport</w:t>
      </w:r>
      <w:r>
        <w:rPr>
          <w:spacing w:val="-8"/>
          <w:sz w:val="24"/>
        </w:rPr>
        <w:t> </w:t>
      </w:r>
      <w:r>
        <w:rPr>
          <w:sz w:val="24"/>
        </w:rPr>
        <w:t>avec</w:t>
      </w:r>
      <w:r>
        <w:rPr>
          <w:spacing w:val="-9"/>
          <w:sz w:val="24"/>
        </w:rPr>
        <w:t> </w:t>
      </w:r>
      <w:r>
        <w:rPr>
          <w:sz w:val="24"/>
        </w:rPr>
        <w:t>les</w:t>
      </w:r>
      <w:r>
        <w:rPr>
          <w:spacing w:val="-9"/>
          <w:sz w:val="24"/>
        </w:rPr>
        <w:t> </w:t>
      </w:r>
      <w:r>
        <w:rPr>
          <w:sz w:val="24"/>
        </w:rPr>
        <w:t>produits</w:t>
      </w:r>
      <w:r>
        <w:rPr>
          <w:spacing w:val="-8"/>
          <w:sz w:val="24"/>
        </w:rPr>
        <w:t> </w:t>
      </w:r>
      <w:r>
        <w:rPr>
          <w:sz w:val="24"/>
        </w:rPr>
        <w:t>pertinents.</w:t>
      </w:r>
      <w:r>
        <w:rPr>
          <w:spacing w:val="-8"/>
          <w:sz w:val="24"/>
        </w:rPr>
        <w:t> </w:t>
      </w:r>
      <w:r>
        <w:rPr>
          <w:sz w:val="24"/>
        </w:rPr>
        <w:t>Par</w:t>
      </w:r>
      <w:r>
        <w:rPr>
          <w:spacing w:val="-9"/>
          <w:sz w:val="24"/>
        </w:rPr>
        <w:t> </w:t>
      </w:r>
      <w:r>
        <w:rPr>
          <w:sz w:val="24"/>
        </w:rPr>
        <w:t>conséquent,</w:t>
      </w:r>
      <w:r>
        <w:rPr>
          <w:spacing w:val="-8"/>
          <w:sz w:val="24"/>
        </w:rPr>
        <w:t> </w:t>
      </w:r>
      <w:r>
        <w:rPr>
          <w:sz w:val="24"/>
        </w:rPr>
        <w:t>les signes sont distinctifs.</w:t>
      </w:r>
    </w:p>
    <w:p>
      <w:pPr>
        <w:pStyle w:val="ListParagraph"/>
        <w:numPr>
          <w:ilvl w:val="0"/>
          <w:numId w:val="2"/>
        </w:numPr>
        <w:tabs>
          <w:tab w:pos="1015" w:val="left" w:leader="none"/>
          <w:tab w:pos="1017" w:val="left" w:leader="none"/>
        </w:tabs>
        <w:spacing w:line="240" w:lineRule="auto" w:before="238" w:after="0"/>
        <w:ind w:left="1017" w:right="163" w:hanging="428"/>
        <w:jc w:val="both"/>
        <w:rPr>
          <w:sz w:val="24"/>
        </w:rPr>
      </w:pPr>
      <w:r>
        <w:rPr>
          <w:sz w:val="24"/>
        </w:rPr>
        <w:t>Le nombre «5» n’est pas dominant dans le signe contesté. En effet, les deux composants sont fusionnés en un seul élément graphique, de sorte que l’un ne peut éclipser</w:t>
      </w:r>
      <w:r>
        <w:rPr>
          <w:spacing w:val="-6"/>
          <w:sz w:val="24"/>
        </w:rPr>
        <w:t> </w:t>
      </w:r>
      <w:r>
        <w:rPr>
          <w:sz w:val="24"/>
        </w:rPr>
        <w:t>l’autre.</w:t>
      </w:r>
      <w:r>
        <w:rPr>
          <w:spacing w:val="-3"/>
          <w:sz w:val="24"/>
        </w:rPr>
        <w:t> </w:t>
      </w:r>
      <w:r>
        <w:rPr>
          <w:sz w:val="24"/>
        </w:rPr>
        <w:t>En</w:t>
      </w:r>
      <w:r>
        <w:rPr>
          <w:spacing w:val="-5"/>
          <w:sz w:val="24"/>
        </w:rPr>
        <w:t> </w:t>
      </w:r>
      <w:r>
        <w:rPr>
          <w:sz w:val="24"/>
        </w:rPr>
        <w:t>outre,</w:t>
      </w:r>
      <w:r>
        <w:rPr>
          <w:spacing w:val="-3"/>
          <w:sz w:val="24"/>
        </w:rPr>
        <w:t> </w:t>
      </w:r>
      <w:r>
        <w:rPr>
          <w:sz w:val="24"/>
        </w:rPr>
        <w:t>la</w:t>
      </w:r>
      <w:r>
        <w:rPr>
          <w:spacing w:val="-5"/>
          <w:sz w:val="24"/>
        </w:rPr>
        <w:t> </w:t>
      </w:r>
      <w:r>
        <w:rPr>
          <w:sz w:val="24"/>
        </w:rPr>
        <w:t>partie</w:t>
      </w:r>
      <w:r>
        <w:rPr>
          <w:spacing w:val="-6"/>
          <w:sz w:val="24"/>
        </w:rPr>
        <w:t> </w:t>
      </w:r>
      <w:r>
        <w:rPr>
          <w:sz w:val="24"/>
        </w:rPr>
        <w:t>de</w:t>
      </w:r>
      <w:r>
        <w:rPr>
          <w:spacing w:val="-4"/>
          <w:sz w:val="24"/>
        </w:rPr>
        <w:t> </w:t>
      </w:r>
      <w:r>
        <w:rPr>
          <w:sz w:val="24"/>
        </w:rPr>
        <w:t>cet</w:t>
      </w:r>
      <w:r>
        <w:rPr>
          <w:spacing w:val="-4"/>
          <w:sz w:val="24"/>
        </w:rPr>
        <w:t> </w:t>
      </w:r>
      <w:r>
        <w:rPr>
          <w:sz w:val="24"/>
        </w:rPr>
        <w:t>élément</w:t>
      </w:r>
      <w:r>
        <w:rPr>
          <w:spacing w:val="-2"/>
          <w:sz w:val="24"/>
        </w:rPr>
        <w:t> </w:t>
      </w:r>
      <w:r>
        <w:rPr>
          <w:sz w:val="24"/>
        </w:rPr>
        <w:t>unique</w:t>
      </w:r>
      <w:r>
        <w:rPr>
          <w:spacing w:val="-6"/>
          <w:sz w:val="24"/>
        </w:rPr>
        <w:t> </w:t>
      </w:r>
      <w:r>
        <w:rPr>
          <w:sz w:val="24"/>
        </w:rPr>
        <w:t>représentant</w:t>
      </w:r>
      <w:r>
        <w:rPr>
          <w:spacing w:val="-3"/>
          <w:sz w:val="24"/>
        </w:rPr>
        <w:t> </w:t>
      </w:r>
      <w:r>
        <w:rPr>
          <w:sz w:val="24"/>
        </w:rPr>
        <w:t>la</w:t>
      </w:r>
      <w:r>
        <w:rPr>
          <w:spacing w:val="-5"/>
          <w:sz w:val="24"/>
        </w:rPr>
        <w:t> </w:t>
      </w:r>
      <w:r>
        <w:rPr>
          <w:sz w:val="24"/>
        </w:rPr>
        <w:t>lettre</w:t>
      </w:r>
      <w:r>
        <w:rPr>
          <w:spacing w:val="-1"/>
          <w:sz w:val="24"/>
        </w:rPr>
        <w:t> </w:t>
      </w:r>
      <w:r>
        <w:rPr>
          <w:sz w:val="24"/>
        </w:rPr>
        <w:t>«n»</w:t>
      </w:r>
      <w:r>
        <w:rPr>
          <w:spacing w:val="-10"/>
          <w:sz w:val="24"/>
        </w:rPr>
        <w:t> </w:t>
      </w:r>
      <w:r>
        <w:rPr>
          <w:sz w:val="24"/>
        </w:rPr>
        <w:t>est au-dessus de la partie représentant le chiffre «5».</w:t>
      </w:r>
    </w:p>
    <w:p>
      <w:pPr>
        <w:pStyle w:val="ListParagraph"/>
        <w:numPr>
          <w:ilvl w:val="0"/>
          <w:numId w:val="2"/>
        </w:numPr>
        <w:tabs>
          <w:tab w:pos="1015" w:val="left" w:leader="none"/>
          <w:tab w:pos="1017" w:val="left" w:leader="none"/>
        </w:tabs>
        <w:spacing w:line="240" w:lineRule="auto" w:before="239" w:after="0"/>
        <w:ind w:left="1017" w:right="164" w:hanging="428"/>
        <w:jc w:val="both"/>
        <w:rPr>
          <w:sz w:val="24"/>
        </w:rPr>
      </w:pPr>
      <w:r>
        <w:rPr>
          <w:sz w:val="24"/>
        </w:rPr>
        <w:t>Aucun</w:t>
      </w:r>
      <w:r>
        <w:rPr>
          <w:spacing w:val="-4"/>
          <w:sz w:val="24"/>
        </w:rPr>
        <w:t> </w:t>
      </w:r>
      <w:r>
        <w:rPr>
          <w:sz w:val="24"/>
        </w:rPr>
        <w:t>des</w:t>
      </w:r>
      <w:r>
        <w:rPr>
          <w:spacing w:val="-4"/>
          <w:sz w:val="24"/>
        </w:rPr>
        <w:t> </w:t>
      </w:r>
      <w:r>
        <w:rPr>
          <w:sz w:val="24"/>
        </w:rPr>
        <w:t>signes</w:t>
      </w:r>
      <w:r>
        <w:rPr>
          <w:spacing w:val="-4"/>
          <w:sz w:val="24"/>
        </w:rPr>
        <w:t> </w:t>
      </w:r>
      <w:r>
        <w:rPr>
          <w:sz w:val="24"/>
        </w:rPr>
        <w:t>ne</w:t>
      </w:r>
      <w:r>
        <w:rPr>
          <w:spacing w:val="-3"/>
          <w:sz w:val="24"/>
        </w:rPr>
        <w:t> </w:t>
      </w:r>
      <w:r>
        <w:rPr>
          <w:sz w:val="24"/>
        </w:rPr>
        <w:t>contient</w:t>
      </w:r>
      <w:r>
        <w:rPr>
          <w:spacing w:val="-4"/>
          <w:sz w:val="24"/>
        </w:rPr>
        <w:t> </w:t>
      </w:r>
      <w:r>
        <w:rPr>
          <w:sz w:val="24"/>
        </w:rPr>
        <w:t>d’élément</w:t>
      </w:r>
      <w:r>
        <w:rPr>
          <w:spacing w:val="-4"/>
          <w:sz w:val="24"/>
        </w:rPr>
        <w:t> </w:t>
      </w:r>
      <w:r>
        <w:rPr>
          <w:sz w:val="24"/>
        </w:rPr>
        <w:t>qui</w:t>
      </w:r>
      <w:r>
        <w:rPr>
          <w:spacing w:val="-4"/>
          <w:sz w:val="24"/>
        </w:rPr>
        <w:t> </w:t>
      </w:r>
      <w:r>
        <w:rPr>
          <w:sz w:val="24"/>
        </w:rPr>
        <w:t>pourrait</w:t>
      </w:r>
      <w:r>
        <w:rPr>
          <w:spacing w:val="-4"/>
          <w:sz w:val="24"/>
        </w:rPr>
        <w:t> </w:t>
      </w:r>
      <w:r>
        <w:rPr>
          <w:sz w:val="24"/>
        </w:rPr>
        <w:t>être</w:t>
      </w:r>
      <w:r>
        <w:rPr>
          <w:spacing w:val="-5"/>
          <w:sz w:val="24"/>
        </w:rPr>
        <w:t> </w:t>
      </w:r>
      <w:r>
        <w:rPr>
          <w:sz w:val="24"/>
        </w:rPr>
        <w:t>considéré</w:t>
      </w:r>
      <w:r>
        <w:rPr>
          <w:spacing w:val="-4"/>
          <w:sz w:val="24"/>
        </w:rPr>
        <w:t> </w:t>
      </w:r>
      <w:r>
        <w:rPr>
          <w:sz w:val="24"/>
        </w:rPr>
        <w:t>comme</w:t>
      </w:r>
      <w:r>
        <w:rPr>
          <w:spacing w:val="-3"/>
          <w:sz w:val="24"/>
        </w:rPr>
        <w:t> </w:t>
      </w:r>
      <w:r>
        <w:rPr>
          <w:sz w:val="24"/>
        </w:rPr>
        <w:t>nettement plus dominant que les autres.</w:t>
      </w:r>
    </w:p>
    <w:p>
      <w:pPr>
        <w:pStyle w:val="ListParagraph"/>
        <w:numPr>
          <w:ilvl w:val="0"/>
          <w:numId w:val="2"/>
        </w:numPr>
        <w:tabs>
          <w:tab w:pos="1015" w:val="left" w:leader="none"/>
          <w:tab w:pos="1017" w:val="left" w:leader="none"/>
        </w:tabs>
        <w:spacing w:line="240" w:lineRule="auto" w:before="239" w:after="0"/>
        <w:ind w:left="1017" w:right="162" w:hanging="428"/>
        <w:jc w:val="both"/>
        <w:rPr>
          <w:sz w:val="24"/>
        </w:rPr>
      </w:pPr>
      <w:r>
        <w:rPr>
          <w:sz w:val="24"/>
        </w:rPr>
        <w:t>Sur</w:t>
      </w:r>
      <w:r>
        <w:rPr>
          <w:spacing w:val="-15"/>
          <w:sz w:val="24"/>
        </w:rPr>
        <w:t> </w:t>
      </w:r>
      <w:r>
        <w:rPr>
          <w:sz w:val="24"/>
        </w:rPr>
        <w:t>le</w:t>
      </w:r>
      <w:r>
        <w:rPr>
          <w:spacing w:val="-15"/>
          <w:sz w:val="24"/>
        </w:rPr>
        <w:t> </w:t>
      </w:r>
      <w:r>
        <w:rPr>
          <w:sz w:val="24"/>
        </w:rPr>
        <w:t>plan</w:t>
      </w:r>
      <w:r>
        <w:rPr>
          <w:spacing w:val="-15"/>
          <w:sz w:val="24"/>
        </w:rPr>
        <w:t> </w:t>
      </w:r>
      <w:r>
        <w:rPr>
          <w:sz w:val="24"/>
        </w:rPr>
        <w:t>visuel,</w:t>
      </w:r>
      <w:r>
        <w:rPr>
          <w:spacing w:val="-15"/>
          <w:sz w:val="24"/>
        </w:rPr>
        <w:t> </w:t>
      </w:r>
      <w:r>
        <w:rPr>
          <w:sz w:val="24"/>
        </w:rPr>
        <w:t>tous</w:t>
      </w:r>
      <w:r>
        <w:rPr>
          <w:spacing w:val="-15"/>
          <w:sz w:val="24"/>
        </w:rPr>
        <w:t> </w:t>
      </w:r>
      <w:r>
        <w:rPr>
          <w:sz w:val="24"/>
        </w:rPr>
        <w:t>les</w:t>
      </w:r>
      <w:r>
        <w:rPr>
          <w:spacing w:val="-15"/>
          <w:sz w:val="24"/>
        </w:rPr>
        <w:t> </w:t>
      </w:r>
      <w:r>
        <w:rPr>
          <w:sz w:val="24"/>
        </w:rPr>
        <w:t>signes</w:t>
      </w:r>
      <w:r>
        <w:rPr>
          <w:spacing w:val="-15"/>
          <w:sz w:val="24"/>
        </w:rPr>
        <w:t> </w:t>
      </w:r>
      <w:r>
        <w:rPr>
          <w:sz w:val="24"/>
        </w:rPr>
        <w:t>ont</w:t>
      </w:r>
      <w:r>
        <w:rPr>
          <w:spacing w:val="-13"/>
          <w:sz w:val="24"/>
        </w:rPr>
        <w:t> </w:t>
      </w:r>
      <w:r>
        <w:rPr>
          <w:sz w:val="24"/>
        </w:rPr>
        <w:t>en</w:t>
      </w:r>
      <w:r>
        <w:rPr>
          <w:spacing w:val="-15"/>
          <w:sz w:val="24"/>
        </w:rPr>
        <w:t> </w:t>
      </w:r>
      <w:r>
        <w:rPr>
          <w:sz w:val="24"/>
        </w:rPr>
        <w:t>commun</w:t>
      </w:r>
      <w:r>
        <w:rPr>
          <w:spacing w:val="-15"/>
          <w:sz w:val="24"/>
        </w:rPr>
        <w:t> </w:t>
      </w:r>
      <w:r>
        <w:rPr>
          <w:sz w:val="24"/>
        </w:rPr>
        <w:t>le</w:t>
      </w:r>
      <w:r>
        <w:rPr>
          <w:spacing w:val="-15"/>
          <w:sz w:val="24"/>
        </w:rPr>
        <w:t> </w:t>
      </w:r>
      <w:r>
        <w:rPr>
          <w:sz w:val="24"/>
        </w:rPr>
        <w:t>nombre</w:t>
      </w:r>
      <w:r>
        <w:rPr>
          <w:spacing w:val="-12"/>
          <w:sz w:val="24"/>
        </w:rPr>
        <w:t> </w:t>
      </w:r>
      <w:r>
        <w:rPr>
          <w:sz w:val="24"/>
        </w:rPr>
        <w:t>«5».</w:t>
      </w:r>
      <w:r>
        <w:rPr>
          <w:spacing w:val="-11"/>
          <w:sz w:val="24"/>
        </w:rPr>
        <w:t> </w:t>
      </w:r>
      <w:r>
        <w:rPr>
          <w:sz w:val="24"/>
        </w:rPr>
        <w:t>La</w:t>
      </w:r>
      <w:r>
        <w:rPr>
          <w:spacing w:val="-14"/>
          <w:sz w:val="24"/>
        </w:rPr>
        <w:t> </w:t>
      </w:r>
      <w:r>
        <w:rPr>
          <w:sz w:val="24"/>
        </w:rPr>
        <w:t>marque</w:t>
      </w:r>
      <w:r>
        <w:rPr>
          <w:spacing w:val="-14"/>
          <w:sz w:val="24"/>
        </w:rPr>
        <w:t> </w:t>
      </w:r>
      <w:r>
        <w:rPr>
          <w:sz w:val="24"/>
        </w:rPr>
        <w:t>antérieure no 1 et le signe contesté diffèrent par l’élément verbal «n» de ce dernier. La marque antérieure no 2 et le signe contesté coïncident par l’élément verbal «n» et le nombre</w:t>
      </w:r>
    </w:p>
    <w:p>
      <w:pPr>
        <w:pStyle w:val="BodyText"/>
        <w:spacing w:before="2"/>
        <w:ind w:left="1017" w:right="160"/>
        <w:jc w:val="both"/>
      </w:pPr>
      <w:r>
        <w:rPr/>
        <w:t>«5». Ils diffèrent par le symbole du premier «°». Le signe contesté diffère des deux marques</w:t>
      </w:r>
      <w:r>
        <w:rPr>
          <w:spacing w:val="-9"/>
        </w:rPr>
        <w:t> </w:t>
      </w:r>
      <w:r>
        <w:rPr/>
        <w:t>antérieures</w:t>
      </w:r>
      <w:r>
        <w:rPr>
          <w:spacing w:val="-9"/>
        </w:rPr>
        <w:t> </w:t>
      </w:r>
      <w:r>
        <w:rPr/>
        <w:t>par</w:t>
      </w:r>
      <w:r>
        <w:rPr>
          <w:spacing w:val="-10"/>
        </w:rPr>
        <w:t> </w:t>
      </w:r>
      <w:r>
        <w:rPr/>
        <w:t>sa</w:t>
      </w:r>
      <w:r>
        <w:rPr>
          <w:spacing w:val="-10"/>
        </w:rPr>
        <w:t> </w:t>
      </w:r>
      <w:r>
        <w:rPr/>
        <w:t>représentation</w:t>
      </w:r>
      <w:r>
        <w:rPr>
          <w:spacing w:val="-9"/>
        </w:rPr>
        <w:t> </w:t>
      </w:r>
      <w:r>
        <w:rPr/>
        <w:t>graphique</w:t>
      </w:r>
      <w:r>
        <w:rPr>
          <w:spacing w:val="-10"/>
        </w:rPr>
        <w:t> </w:t>
      </w:r>
      <w:r>
        <w:rPr/>
        <w:t>distinctive,</w:t>
      </w:r>
      <w:r>
        <w:rPr>
          <w:spacing w:val="-9"/>
        </w:rPr>
        <w:t> </w:t>
      </w:r>
      <w:r>
        <w:rPr/>
        <w:t>produite</w:t>
      </w:r>
      <w:r>
        <w:rPr>
          <w:spacing w:val="-10"/>
        </w:rPr>
        <w:t> </w:t>
      </w:r>
      <w:r>
        <w:rPr/>
        <w:t>par</w:t>
      </w:r>
      <w:r>
        <w:rPr>
          <w:spacing w:val="-10"/>
        </w:rPr>
        <w:t> </w:t>
      </w:r>
      <w:r>
        <w:rPr/>
        <w:t>la</w:t>
      </w:r>
      <w:r>
        <w:rPr>
          <w:spacing w:val="-10"/>
        </w:rPr>
        <w:t> </w:t>
      </w:r>
      <w:r>
        <w:rPr/>
        <w:t>fusion de</w:t>
      </w:r>
      <w:r>
        <w:rPr>
          <w:spacing w:val="-4"/>
        </w:rPr>
        <w:t> </w:t>
      </w:r>
      <w:r>
        <w:rPr/>
        <w:t>ses</w:t>
      </w:r>
      <w:r>
        <w:rPr>
          <w:spacing w:val="-4"/>
        </w:rPr>
        <w:t> </w:t>
      </w:r>
      <w:r>
        <w:rPr/>
        <w:t>éléments.</w:t>
      </w:r>
      <w:r>
        <w:rPr>
          <w:spacing w:val="-4"/>
        </w:rPr>
        <w:t> </w:t>
      </w:r>
      <w:r>
        <w:rPr/>
        <w:t>Par</w:t>
      </w:r>
      <w:r>
        <w:rPr>
          <w:spacing w:val="-4"/>
        </w:rPr>
        <w:t> </w:t>
      </w:r>
      <w:r>
        <w:rPr/>
        <w:t>conséquent,</w:t>
      </w:r>
      <w:r>
        <w:rPr>
          <w:spacing w:val="-4"/>
        </w:rPr>
        <w:t> </w:t>
      </w:r>
      <w:r>
        <w:rPr/>
        <w:t>les</w:t>
      </w:r>
      <w:r>
        <w:rPr>
          <w:spacing w:val="-4"/>
        </w:rPr>
        <w:t> </w:t>
      </w:r>
      <w:r>
        <w:rPr/>
        <w:t>marques</w:t>
      </w:r>
      <w:r>
        <w:rPr>
          <w:spacing w:val="-4"/>
        </w:rPr>
        <w:t> </w:t>
      </w:r>
      <w:r>
        <w:rPr/>
        <w:t>antérieures</w:t>
      </w:r>
      <w:r>
        <w:rPr>
          <w:spacing w:val="-4"/>
        </w:rPr>
        <w:t> </w:t>
      </w:r>
      <w:r>
        <w:rPr/>
        <w:t>1</w:t>
      </w:r>
      <w:r>
        <w:rPr>
          <w:spacing w:val="-4"/>
        </w:rPr>
        <w:t> </w:t>
      </w:r>
      <w:r>
        <w:rPr/>
        <w:t>et</w:t>
      </w:r>
      <w:r>
        <w:rPr>
          <w:spacing w:val="-4"/>
        </w:rPr>
        <w:t> </w:t>
      </w:r>
      <w:r>
        <w:rPr/>
        <w:t>2</w:t>
      </w:r>
      <w:r>
        <w:rPr>
          <w:spacing w:val="-4"/>
        </w:rPr>
        <w:t> </w:t>
      </w:r>
      <w:r>
        <w:rPr/>
        <w:t>sur</w:t>
      </w:r>
      <w:r>
        <w:rPr>
          <w:spacing w:val="-4"/>
        </w:rPr>
        <w:t> </w:t>
      </w:r>
      <w:r>
        <w:rPr/>
        <w:t>le</w:t>
      </w:r>
      <w:r>
        <w:rPr>
          <w:spacing w:val="-5"/>
        </w:rPr>
        <w:t> </w:t>
      </w:r>
      <w:r>
        <w:rPr/>
        <w:t>plan</w:t>
      </w:r>
      <w:r>
        <w:rPr>
          <w:spacing w:val="-4"/>
        </w:rPr>
        <w:t> </w:t>
      </w:r>
      <w:r>
        <w:rPr/>
        <w:t>visuel</w:t>
      </w:r>
      <w:r>
        <w:rPr>
          <w:spacing w:val="-4"/>
        </w:rPr>
        <w:t> </w:t>
      </w:r>
      <w:r>
        <w:rPr/>
        <w:t>sont similaires au signe contesté à un degré tout au plus inférieur à la moyenne.</w:t>
      </w:r>
    </w:p>
    <w:p>
      <w:pPr>
        <w:pStyle w:val="ListParagraph"/>
        <w:numPr>
          <w:ilvl w:val="0"/>
          <w:numId w:val="2"/>
        </w:numPr>
        <w:tabs>
          <w:tab w:pos="1015" w:val="left" w:leader="none"/>
          <w:tab w:pos="1017" w:val="left" w:leader="none"/>
        </w:tabs>
        <w:spacing w:line="240" w:lineRule="auto" w:before="240" w:after="0"/>
        <w:ind w:left="1017" w:right="162" w:hanging="428"/>
        <w:jc w:val="both"/>
        <w:rPr>
          <w:sz w:val="24"/>
        </w:rPr>
      </w:pPr>
      <w:r>
        <w:rPr>
          <w:sz w:val="24"/>
        </w:rPr>
        <w:t>Sur</w:t>
      </w:r>
      <w:r>
        <w:rPr>
          <w:spacing w:val="-14"/>
          <w:sz w:val="24"/>
        </w:rPr>
        <w:t> </w:t>
      </w:r>
      <w:r>
        <w:rPr>
          <w:sz w:val="24"/>
        </w:rPr>
        <w:t>le</w:t>
      </w:r>
      <w:r>
        <w:rPr>
          <w:spacing w:val="-14"/>
          <w:sz w:val="24"/>
        </w:rPr>
        <w:t> </w:t>
      </w:r>
      <w:r>
        <w:rPr>
          <w:sz w:val="24"/>
        </w:rPr>
        <w:t>plan</w:t>
      </w:r>
      <w:r>
        <w:rPr>
          <w:spacing w:val="-14"/>
          <w:sz w:val="24"/>
        </w:rPr>
        <w:t> </w:t>
      </w:r>
      <w:r>
        <w:rPr>
          <w:sz w:val="24"/>
        </w:rPr>
        <w:t>phonétique,</w:t>
      </w:r>
      <w:r>
        <w:rPr>
          <w:spacing w:val="-13"/>
          <w:sz w:val="24"/>
        </w:rPr>
        <w:t> </w:t>
      </w:r>
      <w:r>
        <w:rPr>
          <w:sz w:val="24"/>
        </w:rPr>
        <w:t>tous</w:t>
      </w:r>
      <w:r>
        <w:rPr>
          <w:spacing w:val="-13"/>
          <w:sz w:val="24"/>
        </w:rPr>
        <w:t> </w:t>
      </w:r>
      <w:r>
        <w:rPr>
          <w:sz w:val="24"/>
        </w:rPr>
        <w:t>les</w:t>
      </w:r>
      <w:r>
        <w:rPr>
          <w:spacing w:val="-13"/>
          <w:sz w:val="24"/>
        </w:rPr>
        <w:t> </w:t>
      </w:r>
      <w:r>
        <w:rPr>
          <w:sz w:val="24"/>
        </w:rPr>
        <w:t>signes</w:t>
      </w:r>
      <w:r>
        <w:rPr>
          <w:spacing w:val="-10"/>
          <w:sz w:val="24"/>
        </w:rPr>
        <w:t> </w:t>
      </w:r>
      <w:r>
        <w:rPr>
          <w:sz w:val="24"/>
        </w:rPr>
        <w:t>coïncident</w:t>
      </w:r>
      <w:r>
        <w:rPr>
          <w:spacing w:val="-13"/>
          <w:sz w:val="24"/>
        </w:rPr>
        <w:t> </w:t>
      </w:r>
      <w:r>
        <w:rPr>
          <w:sz w:val="24"/>
        </w:rPr>
        <w:t>par</w:t>
      </w:r>
      <w:r>
        <w:rPr>
          <w:spacing w:val="-14"/>
          <w:sz w:val="24"/>
        </w:rPr>
        <w:t> </w:t>
      </w:r>
      <w:r>
        <w:rPr>
          <w:sz w:val="24"/>
        </w:rPr>
        <w:t>la</w:t>
      </w:r>
      <w:r>
        <w:rPr>
          <w:spacing w:val="-11"/>
          <w:sz w:val="24"/>
        </w:rPr>
        <w:t> </w:t>
      </w:r>
      <w:r>
        <w:rPr>
          <w:sz w:val="24"/>
        </w:rPr>
        <w:t>prononciation</w:t>
      </w:r>
      <w:r>
        <w:rPr>
          <w:spacing w:val="-13"/>
          <w:sz w:val="24"/>
        </w:rPr>
        <w:t> </w:t>
      </w:r>
      <w:r>
        <w:rPr>
          <w:sz w:val="24"/>
        </w:rPr>
        <w:t>du</w:t>
      </w:r>
      <w:r>
        <w:rPr>
          <w:spacing w:val="-13"/>
          <w:sz w:val="24"/>
        </w:rPr>
        <w:t> </w:t>
      </w:r>
      <w:r>
        <w:rPr>
          <w:sz w:val="24"/>
        </w:rPr>
        <w:t>nombre</w:t>
      </w:r>
      <w:r>
        <w:rPr>
          <w:spacing w:val="-9"/>
          <w:sz w:val="24"/>
        </w:rPr>
        <w:t> </w:t>
      </w:r>
      <w:r>
        <w:rPr>
          <w:sz w:val="24"/>
        </w:rPr>
        <w:t>«5». La</w:t>
      </w:r>
      <w:r>
        <w:rPr>
          <w:spacing w:val="-15"/>
          <w:sz w:val="24"/>
        </w:rPr>
        <w:t> </w:t>
      </w:r>
      <w:r>
        <w:rPr>
          <w:sz w:val="24"/>
        </w:rPr>
        <w:t>marque</w:t>
      </w:r>
      <w:r>
        <w:rPr>
          <w:spacing w:val="-15"/>
          <w:sz w:val="24"/>
        </w:rPr>
        <w:t> </w:t>
      </w:r>
      <w:r>
        <w:rPr>
          <w:sz w:val="24"/>
        </w:rPr>
        <w:t>antérieure</w:t>
      </w:r>
      <w:r>
        <w:rPr>
          <w:spacing w:val="-15"/>
          <w:sz w:val="24"/>
        </w:rPr>
        <w:t> </w:t>
      </w:r>
      <w:r>
        <w:rPr>
          <w:sz w:val="24"/>
        </w:rPr>
        <w:t>no</w:t>
      </w:r>
      <w:r>
        <w:rPr>
          <w:spacing w:val="-15"/>
          <w:sz w:val="24"/>
        </w:rPr>
        <w:t> </w:t>
      </w:r>
      <w:r>
        <w:rPr>
          <w:sz w:val="24"/>
        </w:rPr>
        <w:t>1</w:t>
      </w:r>
      <w:r>
        <w:rPr>
          <w:spacing w:val="-15"/>
          <w:sz w:val="24"/>
        </w:rPr>
        <w:t> </w:t>
      </w:r>
      <w:r>
        <w:rPr>
          <w:sz w:val="24"/>
        </w:rPr>
        <w:t>et</w:t>
      </w:r>
      <w:r>
        <w:rPr>
          <w:spacing w:val="-14"/>
          <w:sz w:val="24"/>
        </w:rPr>
        <w:t> </w:t>
      </w:r>
      <w:r>
        <w:rPr>
          <w:sz w:val="24"/>
        </w:rPr>
        <w:t>le</w:t>
      </w:r>
      <w:r>
        <w:rPr>
          <w:spacing w:val="-15"/>
          <w:sz w:val="24"/>
        </w:rPr>
        <w:t> </w:t>
      </w:r>
      <w:r>
        <w:rPr>
          <w:sz w:val="24"/>
        </w:rPr>
        <w:t>signe</w:t>
      </w:r>
      <w:r>
        <w:rPr>
          <w:spacing w:val="-15"/>
          <w:sz w:val="24"/>
        </w:rPr>
        <w:t> </w:t>
      </w:r>
      <w:r>
        <w:rPr>
          <w:sz w:val="24"/>
        </w:rPr>
        <w:t>contesté</w:t>
      </w:r>
      <w:r>
        <w:rPr>
          <w:spacing w:val="-15"/>
          <w:sz w:val="24"/>
        </w:rPr>
        <w:t> </w:t>
      </w:r>
      <w:r>
        <w:rPr>
          <w:sz w:val="24"/>
        </w:rPr>
        <w:t>diffèrent</w:t>
      </w:r>
      <w:r>
        <w:rPr>
          <w:spacing w:val="-15"/>
          <w:sz w:val="24"/>
        </w:rPr>
        <w:t> </w:t>
      </w:r>
      <w:r>
        <w:rPr>
          <w:sz w:val="24"/>
        </w:rPr>
        <w:t>par</w:t>
      </w:r>
      <w:r>
        <w:rPr>
          <w:spacing w:val="-15"/>
          <w:sz w:val="24"/>
        </w:rPr>
        <w:t> </w:t>
      </w:r>
      <w:r>
        <w:rPr>
          <w:sz w:val="24"/>
        </w:rPr>
        <w:t>la</w:t>
      </w:r>
      <w:r>
        <w:rPr>
          <w:spacing w:val="-15"/>
          <w:sz w:val="24"/>
        </w:rPr>
        <w:t> </w:t>
      </w:r>
      <w:r>
        <w:rPr>
          <w:sz w:val="24"/>
        </w:rPr>
        <w:t>prononciation</w:t>
      </w:r>
      <w:r>
        <w:rPr>
          <w:spacing w:val="-14"/>
          <w:sz w:val="24"/>
        </w:rPr>
        <w:t> </w:t>
      </w:r>
      <w:r>
        <w:rPr>
          <w:sz w:val="24"/>
        </w:rPr>
        <w:t>de</w:t>
      </w:r>
      <w:r>
        <w:rPr>
          <w:spacing w:val="-15"/>
          <w:sz w:val="24"/>
        </w:rPr>
        <w:t> </w:t>
      </w:r>
      <w:r>
        <w:rPr>
          <w:sz w:val="24"/>
        </w:rPr>
        <w:t>la</w:t>
      </w:r>
      <w:r>
        <w:rPr>
          <w:spacing w:val="-15"/>
          <w:sz w:val="24"/>
        </w:rPr>
        <w:t> </w:t>
      </w:r>
      <w:r>
        <w:rPr>
          <w:sz w:val="24"/>
        </w:rPr>
        <w:t>lettre</w:t>
      </w:r>
    </w:p>
    <w:p>
      <w:pPr>
        <w:pStyle w:val="BodyText"/>
        <w:ind w:left="1017" w:right="161"/>
        <w:jc w:val="both"/>
      </w:pPr>
      <w:r>
        <w:rPr/>
        <w:t>«n».</w:t>
      </w:r>
      <w:r>
        <w:rPr>
          <w:spacing w:val="-15"/>
        </w:rPr>
        <w:t> </w:t>
      </w:r>
      <w:r>
        <w:rPr/>
        <w:t>Chacun</w:t>
      </w:r>
      <w:r>
        <w:rPr>
          <w:spacing w:val="-15"/>
        </w:rPr>
        <w:t> </w:t>
      </w:r>
      <w:r>
        <w:rPr/>
        <w:t>de</w:t>
      </w:r>
      <w:r>
        <w:rPr>
          <w:spacing w:val="-15"/>
        </w:rPr>
        <w:t> </w:t>
      </w:r>
      <w:r>
        <w:rPr/>
        <w:t>ces</w:t>
      </w:r>
      <w:r>
        <w:rPr>
          <w:spacing w:val="-15"/>
        </w:rPr>
        <w:t> </w:t>
      </w:r>
      <w:r>
        <w:rPr/>
        <w:t>éléments</w:t>
      </w:r>
      <w:r>
        <w:rPr>
          <w:spacing w:val="-15"/>
        </w:rPr>
        <w:t> </w:t>
      </w:r>
      <w:r>
        <w:rPr/>
        <w:t>sera</w:t>
      </w:r>
      <w:r>
        <w:rPr>
          <w:spacing w:val="-15"/>
        </w:rPr>
        <w:t> </w:t>
      </w:r>
      <w:r>
        <w:rPr/>
        <w:t>prononcé</w:t>
      </w:r>
      <w:r>
        <w:rPr>
          <w:spacing w:val="-15"/>
        </w:rPr>
        <w:t> </w:t>
      </w:r>
      <w:r>
        <w:rPr/>
        <w:t>en</w:t>
      </w:r>
      <w:r>
        <w:rPr>
          <w:spacing w:val="-15"/>
        </w:rPr>
        <w:t> </w:t>
      </w:r>
      <w:r>
        <w:rPr/>
        <w:t>une</w:t>
      </w:r>
      <w:r>
        <w:rPr>
          <w:spacing w:val="-15"/>
        </w:rPr>
        <w:t> </w:t>
      </w:r>
      <w:r>
        <w:rPr/>
        <w:t>seule</w:t>
      </w:r>
      <w:r>
        <w:rPr>
          <w:spacing w:val="-15"/>
        </w:rPr>
        <w:t> </w:t>
      </w:r>
      <w:r>
        <w:rPr/>
        <w:t>syllabe.</w:t>
      </w:r>
      <w:r>
        <w:rPr>
          <w:spacing w:val="-15"/>
        </w:rPr>
        <w:t> </w:t>
      </w:r>
      <w:r>
        <w:rPr/>
        <w:t>La</w:t>
      </w:r>
      <w:r>
        <w:rPr>
          <w:spacing w:val="-15"/>
        </w:rPr>
        <w:t> </w:t>
      </w:r>
      <w:r>
        <w:rPr/>
        <w:t>marque</w:t>
      </w:r>
      <w:r>
        <w:rPr>
          <w:spacing w:val="-15"/>
        </w:rPr>
        <w:t> </w:t>
      </w:r>
      <w:r>
        <w:rPr/>
        <w:t>antérieure no 2 et le signe contesté diffèrent également par l’élément verbal «no», qui sera prononcé comme le mot français-de trois syllabes «</w:t>
      </w:r>
      <w:r>
        <w:rPr>
          <w:i/>
        </w:rPr>
        <w:t>numéro</w:t>
      </w:r>
      <w:r>
        <w:rPr/>
        <w:t>». Sa prononciation sera considérablement plus longue que celle de l’équivalent «n»</w:t>
      </w:r>
      <w:r>
        <w:rPr>
          <w:spacing w:val="-3"/>
        </w:rPr>
        <w:t> </w:t>
      </w:r>
      <w:r>
        <w:rPr/>
        <w:t>du signe contesté et aura un rythme différent. Il ne coïncidera qu’avec la prononciation de l’élément «n» du signe</w:t>
      </w:r>
      <w:r>
        <w:rPr>
          <w:spacing w:val="-1"/>
        </w:rPr>
        <w:t> </w:t>
      </w:r>
      <w:r>
        <w:rPr/>
        <w:t>contesté</w:t>
      </w:r>
      <w:r>
        <w:rPr>
          <w:spacing w:val="-1"/>
        </w:rPr>
        <w:t> </w:t>
      </w:r>
      <w:r>
        <w:rPr/>
        <w:t>dans</w:t>
      </w:r>
      <w:r>
        <w:rPr>
          <w:spacing w:val="-2"/>
        </w:rPr>
        <w:t> </w:t>
      </w:r>
      <w:r>
        <w:rPr/>
        <w:t>le</w:t>
      </w:r>
      <w:r>
        <w:rPr>
          <w:spacing w:val="-1"/>
        </w:rPr>
        <w:t> </w:t>
      </w:r>
      <w:r>
        <w:rPr/>
        <w:t>son</w:t>
      </w:r>
      <w:r>
        <w:rPr>
          <w:spacing w:val="-2"/>
        </w:rPr>
        <w:t> </w:t>
      </w:r>
      <w:r>
        <w:rPr/>
        <w:t>de</w:t>
      </w:r>
      <w:r>
        <w:rPr>
          <w:spacing w:val="-3"/>
        </w:rPr>
        <w:t> </w:t>
      </w:r>
      <w:r>
        <w:rPr/>
        <w:t>sa</w:t>
      </w:r>
      <w:r>
        <w:rPr>
          <w:spacing w:val="-3"/>
        </w:rPr>
        <w:t> </w:t>
      </w:r>
      <w:r>
        <w:rPr/>
        <w:t>première</w:t>
      </w:r>
      <w:r>
        <w:rPr>
          <w:spacing w:val="-2"/>
        </w:rPr>
        <w:t> </w:t>
      </w:r>
      <w:r>
        <w:rPr/>
        <w:t>lettre. Par</w:t>
      </w:r>
      <w:r>
        <w:rPr>
          <w:spacing w:val="-2"/>
        </w:rPr>
        <w:t> </w:t>
      </w:r>
      <w:r>
        <w:rPr/>
        <w:t>conséquent,</w:t>
      </w:r>
      <w:r>
        <w:rPr>
          <w:spacing w:val="-2"/>
        </w:rPr>
        <w:t> </w:t>
      </w:r>
      <w:r>
        <w:rPr/>
        <w:t>la</w:t>
      </w:r>
      <w:r>
        <w:rPr>
          <w:spacing w:val="-3"/>
        </w:rPr>
        <w:t> </w:t>
      </w:r>
      <w:r>
        <w:rPr/>
        <w:t>marque</w:t>
      </w:r>
      <w:r>
        <w:rPr>
          <w:spacing w:val="-1"/>
        </w:rPr>
        <w:t> </w:t>
      </w:r>
      <w:r>
        <w:rPr/>
        <w:t>antérieure no 1 et le signe contesté présentent tout au plus un degré de similitude inférieur à la moyenne sur le plan phonétique, tandis que sur le plan phonétique, la marque antérieure no 2 présente un faible degré de similitude avec le signe contesté.</w:t>
      </w:r>
    </w:p>
    <w:p>
      <w:pPr>
        <w:pStyle w:val="ListParagraph"/>
        <w:numPr>
          <w:ilvl w:val="0"/>
          <w:numId w:val="2"/>
        </w:numPr>
        <w:tabs>
          <w:tab w:pos="1015" w:val="left" w:leader="none"/>
          <w:tab w:pos="1017" w:val="left" w:leader="none"/>
        </w:tabs>
        <w:spacing w:line="240" w:lineRule="auto" w:before="239" w:after="0"/>
        <w:ind w:left="1017" w:right="160" w:hanging="428"/>
        <w:jc w:val="both"/>
        <w:rPr>
          <w:sz w:val="24"/>
        </w:rPr>
      </w:pPr>
      <w:r>
        <w:rPr>
          <w:sz w:val="24"/>
        </w:rPr>
        <w:t>Sur</w:t>
      </w:r>
      <w:r>
        <w:rPr>
          <w:spacing w:val="-2"/>
          <w:sz w:val="24"/>
        </w:rPr>
        <w:t> </w:t>
      </w:r>
      <w:r>
        <w:rPr>
          <w:sz w:val="24"/>
        </w:rPr>
        <w:t>le</w:t>
      </w:r>
      <w:r>
        <w:rPr>
          <w:spacing w:val="-4"/>
          <w:sz w:val="24"/>
        </w:rPr>
        <w:t> </w:t>
      </w:r>
      <w:r>
        <w:rPr>
          <w:sz w:val="24"/>
        </w:rPr>
        <w:t>plan</w:t>
      </w:r>
      <w:r>
        <w:rPr>
          <w:spacing w:val="-1"/>
          <w:sz w:val="24"/>
        </w:rPr>
        <w:t> </w:t>
      </w:r>
      <w:r>
        <w:rPr>
          <w:sz w:val="24"/>
        </w:rPr>
        <w:t>conceptuel,</w:t>
      </w:r>
      <w:r>
        <w:rPr>
          <w:spacing w:val="-2"/>
          <w:sz w:val="24"/>
        </w:rPr>
        <w:t> </w:t>
      </w:r>
      <w:r>
        <w:rPr>
          <w:sz w:val="24"/>
        </w:rPr>
        <w:t>tous</w:t>
      </w:r>
      <w:r>
        <w:rPr>
          <w:spacing w:val="-2"/>
          <w:sz w:val="24"/>
        </w:rPr>
        <w:t> </w:t>
      </w:r>
      <w:r>
        <w:rPr>
          <w:sz w:val="24"/>
        </w:rPr>
        <w:t>les</w:t>
      </w:r>
      <w:r>
        <w:rPr>
          <w:spacing w:val="-2"/>
          <w:sz w:val="24"/>
        </w:rPr>
        <w:t> </w:t>
      </w:r>
      <w:r>
        <w:rPr>
          <w:sz w:val="24"/>
        </w:rPr>
        <w:t>signes</w:t>
      </w:r>
      <w:r>
        <w:rPr>
          <w:spacing w:val="-2"/>
          <w:sz w:val="24"/>
        </w:rPr>
        <w:t> </w:t>
      </w:r>
      <w:r>
        <w:rPr>
          <w:sz w:val="24"/>
        </w:rPr>
        <w:t>véhiculent</w:t>
      </w:r>
      <w:r>
        <w:rPr>
          <w:spacing w:val="-2"/>
          <w:sz w:val="24"/>
        </w:rPr>
        <w:t> </w:t>
      </w:r>
      <w:r>
        <w:rPr>
          <w:sz w:val="24"/>
        </w:rPr>
        <w:t>des</w:t>
      </w:r>
      <w:r>
        <w:rPr>
          <w:spacing w:val="-2"/>
          <w:sz w:val="24"/>
        </w:rPr>
        <w:t> </w:t>
      </w:r>
      <w:r>
        <w:rPr>
          <w:sz w:val="24"/>
        </w:rPr>
        <w:t>concepts génériques de</w:t>
      </w:r>
      <w:r>
        <w:rPr>
          <w:spacing w:val="-3"/>
          <w:sz w:val="24"/>
        </w:rPr>
        <w:t> </w:t>
      </w:r>
      <w:r>
        <w:rPr>
          <w:sz w:val="24"/>
        </w:rPr>
        <w:t>chiffres et/ou</w:t>
      </w:r>
      <w:r>
        <w:rPr>
          <w:spacing w:val="-8"/>
          <w:sz w:val="24"/>
        </w:rPr>
        <w:t> </w:t>
      </w:r>
      <w:r>
        <w:rPr>
          <w:sz w:val="24"/>
        </w:rPr>
        <w:t>de</w:t>
      </w:r>
      <w:r>
        <w:rPr>
          <w:spacing w:val="-9"/>
          <w:sz w:val="24"/>
        </w:rPr>
        <w:t> </w:t>
      </w:r>
      <w:r>
        <w:rPr>
          <w:sz w:val="24"/>
        </w:rPr>
        <w:t>lettres.</w:t>
      </w:r>
      <w:r>
        <w:rPr>
          <w:spacing w:val="-8"/>
          <w:sz w:val="24"/>
        </w:rPr>
        <w:t> </w:t>
      </w:r>
      <w:r>
        <w:rPr>
          <w:sz w:val="24"/>
        </w:rPr>
        <w:t>Comme</w:t>
      </w:r>
      <w:r>
        <w:rPr>
          <w:spacing w:val="-9"/>
          <w:sz w:val="24"/>
        </w:rPr>
        <w:t> </w:t>
      </w:r>
      <w:r>
        <w:rPr>
          <w:sz w:val="24"/>
        </w:rPr>
        <w:t>expliqué</w:t>
      </w:r>
      <w:r>
        <w:rPr>
          <w:spacing w:val="-9"/>
          <w:sz w:val="24"/>
        </w:rPr>
        <w:t> </w:t>
      </w:r>
      <w:r>
        <w:rPr>
          <w:sz w:val="24"/>
        </w:rPr>
        <w:t>ci-dessus,</w:t>
      </w:r>
      <w:r>
        <w:rPr>
          <w:spacing w:val="-8"/>
          <w:sz w:val="24"/>
        </w:rPr>
        <w:t> </w:t>
      </w:r>
      <w:r>
        <w:rPr>
          <w:sz w:val="24"/>
        </w:rPr>
        <w:t>si</w:t>
      </w:r>
      <w:r>
        <w:rPr>
          <w:spacing w:val="-8"/>
          <w:sz w:val="24"/>
        </w:rPr>
        <w:t> </w:t>
      </w:r>
      <w:r>
        <w:rPr>
          <w:sz w:val="24"/>
        </w:rPr>
        <w:t>les</w:t>
      </w:r>
      <w:r>
        <w:rPr>
          <w:spacing w:val="-9"/>
          <w:sz w:val="24"/>
        </w:rPr>
        <w:t> </w:t>
      </w:r>
      <w:r>
        <w:rPr>
          <w:sz w:val="24"/>
        </w:rPr>
        <w:t>signes</w:t>
      </w:r>
      <w:r>
        <w:rPr>
          <w:spacing w:val="-8"/>
          <w:sz w:val="24"/>
        </w:rPr>
        <w:t> </w:t>
      </w:r>
      <w:r>
        <w:rPr>
          <w:sz w:val="24"/>
        </w:rPr>
        <w:t>coïncident</w:t>
      </w:r>
      <w:r>
        <w:rPr>
          <w:spacing w:val="-8"/>
          <w:sz w:val="24"/>
        </w:rPr>
        <w:t> </w:t>
      </w:r>
      <w:r>
        <w:rPr>
          <w:sz w:val="24"/>
        </w:rPr>
        <w:t>uniquement</w:t>
      </w:r>
      <w:r>
        <w:rPr>
          <w:spacing w:val="-8"/>
          <w:sz w:val="24"/>
        </w:rPr>
        <w:t> </w:t>
      </w:r>
      <w:r>
        <w:rPr>
          <w:sz w:val="24"/>
        </w:rPr>
        <w:t>par</w:t>
      </w:r>
      <w:r>
        <w:rPr>
          <w:spacing w:val="-9"/>
          <w:sz w:val="24"/>
        </w:rPr>
        <w:t> </w:t>
      </w:r>
      <w:r>
        <w:rPr>
          <w:sz w:val="24"/>
        </w:rPr>
        <w:t>le</w:t>
      </w:r>
    </w:p>
    <w:p>
      <w:pPr>
        <w:pStyle w:val="BodyText"/>
        <w:ind w:left="1017" w:right="159"/>
        <w:jc w:val="both"/>
      </w:pPr>
      <w:r>
        <w:rPr/>
        <w:t>«concept générique»</w:t>
      </w:r>
      <w:r>
        <w:rPr>
          <w:spacing w:val="-6"/>
        </w:rPr>
        <w:t> </w:t>
      </w:r>
      <w:r>
        <w:rPr/>
        <w:t>de</w:t>
      </w:r>
      <w:r>
        <w:rPr>
          <w:spacing w:val="-2"/>
        </w:rPr>
        <w:t> </w:t>
      </w:r>
      <w:r>
        <w:rPr/>
        <w:t>la</w:t>
      </w:r>
      <w:r>
        <w:rPr>
          <w:spacing w:val="-2"/>
        </w:rPr>
        <w:t> </w:t>
      </w:r>
      <w:r>
        <w:rPr/>
        <w:t>lettre</w:t>
      </w:r>
      <w:r>
        <w:rPr>
          <w:spacing w:val="-2"/>
        </w:rPr>
        <w:t> </w:t>
      </w:r>
      <w:r>
        <w:rPr/>
        <w:t>spécifique</w:t>
      </w:r>
      <w:r>
        <w:rPr>
          <w:spacing w:val="-2"/>
        </w:rPr>
        <w:t> </w:t>
      </w:r>
      <w:r>
        <w:rPr/>
        <w:t>de</w:t>
      </w:r>
      <w:r>
        <w:rPr>
          <w:spacing w:val="-2"/>
        </w:rPr>
        <w:t> </w:t>
      </w:r>
      <w:r>
        <w:rPr/>
        <w:t>l’alphabet</w:t>
      </w:r>
      <w:r>
        <w:rPr>
          <w:spacing w:val="-1"/>
        </w:rPr>
        <w:t> </w:t>
      </w:r>
      <w:r>
        <w:rPr/>
        <w:t>et</w:t>
      </w:r>
      <w:r>
        <w:rPr>
          <w:spacing w:val="-1"/>
        </w:rPr>
        <w:t> </w:t>
      </w:r>
      <w:r>
        <w:rPr/>
        <w:t>qu’il</w:t>
      </w:r>
      <w:r>
        <w:rPr>
          <w:spacing w:val="-1"/>
        </w:rPr>
        <w:t> </w:t>
      </w:r>
      <w:r>
        <w:rPr/>
        <w:t>n’existe</w:t>
      </w:r>
      <w:r>
        <w:rPr>
          <w:spacing w:val="-2"/>
        </w:rPr>
        <w:t> </w:t>
      </w:r>
      <w:r>
        <w:rPr/>
        <w:t>aucun</w:t>
      </w:r>
      <w:r>
        <w:rPr>
          <w:spacing w:val="-1"/>
        </w:rPr>
        <w:t> </w:t>
      </w:r>
      <w:r>
        <w:rPr/>
        <w:t>autre concept</w:t>
      </w:r>
      <w:r>
        <w:rPr>
          <w:spacing w:val="-9"/>
        </w:rPr>
        <w:t> </w:t>
      </w:r>
      <w:r>
        <w:rPr/>
        <w:t>(pertinent)</w:t>
      </w:r>
      <w:r>
        <w:rPr>
          <w:spacing w:val="-10"/>
        </w:rPr>
        <w:t> </w:t>
      </w:r>
      <w:r>
        <w:rPr/>
        <w:t>à</w:t>
      </w:r>
      <w:r>
        <w:rPr>
          <w:spacing w:val="-13"/>
        </w:rPr>
        <w:t> </w:t>
      </w:r>
      <w:r>
        <w:rPr/>
        <w:t>prendre</w:t>
      </w:r>
      <w:r>
        <w:rPr>
          <w:spacing w:val="-14"/>
        </w:rPr>
        <w:t> </w:t>
      </w:r>
      <w:r>
        <w:rPr/>
        <w:t>en</w:t>
      </w:r>
      <w:r>
        <w:rPr>
          <w:spacing w:val="-10"/>
        </w:rPr>
        <w:t> </w:t>
      </w:r>
      <w:r>
        <w:rPr/>
        <w:t>considération,</w:t>
      </w:r>
      <w:r>
        <w:rPr>
          <w:spacing w:val="-12"/>
        </w:rPr>
        <w:t> </w:t>
      </w:r>
      <w:r>
        <w:rPr/>
        <w:t>le</w:t>
      </w:r>
      <w:r>
        <w:rPr>
          <w:spacing w:val="-13"/>
        </w:rPr>
        <w:t> </w:t>
      </w:r>
      <w:r>
        <w:rPr/>
        <w:t>simple</w:t>
      </w:r>
      <w:r>
        <w:rPr>
          <w:spacing w:val="-13"/>
        </w:rPr>
        <w:t> </w:t>
      </w:r>
      <w:r>
        <w:rPr/>
        <w:t>fait</w:t>
      </w:r>
      <w:r>
        <w:rPr>
          <w:spacing w:val="-11"/>
        </w:rPr>
        <w:t> </w:t>
      </w:r>
      <w:r>
        <w:rPr/>
        <w:t>que</w:t>
      </w:r>
      <w:r>
        <w:rPr>
          <w:spacing w:val="-11"/>
        </w:rPr>
        <w:t> </w:t>
      </w:r>
      <w:r>
        <w:rPr/>
        <w:t>la</w:t>
      </w:r>
      <w:r>
        <w:rPr>
          <w:spacing w:val="-13"/>
        </w:rPr>
        <w:t> </w:t>
      </w:r>
      <w:r>
        <w:rPr/>
        <w:t>même</w:t>
      </w:r>
      <w:r>
        <w:rPr>
          <w:spacing w:val="-13"/>
        </w:rPr>
        <w:t> </w:t>
      </w:r>
      <w:r>
        <w:rPr/>
        <w:t>lettre</w:t>
      </w:r>
      <w:r>
        <w:rPr>
          <w:spacing w:val="-13"/>
        </w:rPr>
        <w:t> </w:t>
      </w:r>
      <w:r>
        <w:rPr/>
        <w:t>puisse servir</w:t>
      </w:r>
      <w:r>
        <w:rPr>
          <w:spacing w:val="-13"/>
        </w:rPr>
        <w:t> </w:t>
      </w:r>
      <w:r>
        <w:rPr/>
        <w:t>à</w:t>
      </w:r>
      <w:r>
        <w:rPr>
          <w:spacing w:val="-13"/>
        </w:rPr>
        <w:t> </w:t>
      </w:r>
      <w:r>
        <w:rPr/>
        <w:t>décrire</w:t>
      </w:r>
      <w:r>
        <w:rPr>
          <w:spacing w:val="-13"/>
        </w:rPr>
        <w:t> </w:t>
      </w:r>
      <w:r>
        <w:rPr/>
        <w:t>les</w:t>
      </w:r>
      <w:r>
        <w:rPr>
          <w:spacing w:val="-10"/>
        </w:rPr>
        <w:t> </w:t>
      </w:r>
      <w:r>
        <w:rPr/>
        <w:t>signes</w:t>
      </w:r>
      <w:r>
        <w:rPr>
          <w:spacing w:val="-9"/>
        </w:rPr>
        <w:t> </w:t>
      </w:r>
      <w:r>
        <w:rPr/>
        <w:t>comparés</w:t>
      </w:r>
      <w:r>
        <w:rPr>
          <w:spacing w:val="-12"/>
        </w:rPr>
        <w:t> </w:t>
      </w:r>
      <w:r>
        <w:rPr/>
        <w:t>n’est</w:t>
      </w:r>
      <w:r>
        <w:rPr>
          <w:spacing w:val="-11"/>
        </w:rPr>
        <w:t> </w:t>
      </w:r>
      <w:r>
        <w:rPr/>
        <w:t>pas,</w:t>
      </w:r>
      <w:r>
        <w:rPr>
          <w:spacing w:val="-9"/>
        </w:rPr>
        <w:t> </w:t>
      </w:r>
      <w:r>
        <w:rPr/>
        <w:t>en</w:t>
      </w:r>
      <w:r>
        <w:rPr>
          <w:spacing w:val="-12"/>
        </w:rPr>
        <w:t> </w:t>
      </w:r>
      <w:r>
        <w:rPr/>
        <w:t>soi,</w:t>
      </w:r>
      <w:r>
        <w:rPr>
          <w:spacing w:val="-12"/>
        </w:rPr>
        <w:t> </w:t>
      </w:r>
      <w:r>
        <w:rPr/>
        <w:t>suffisant</w:t>
      </w:r>
      <w:r>
        <w:rPr>
          <w:spacing w:val="-12"/>
        </w:rPr>
        <w:t> </w:t>
      </w:r>
      <w:r>
        <w:rPr/>
        <w:t>pour</w:t>
      </w:r>
      <w:r>
        <w:rPr>
          <w:spacing w:val="-13"/>
        </w:rPr>
        <w:t> </w:t>
      </w:r>
      <w:r>
        <w:rPr/>
        <w:t>établir</w:t>
      </w:r>
      <w:r>
        <w:rPr>
          <w:spacing w:val="-13"/>
        </w:rPr>
        <w:t> </w:t>
      </w:r>
      <w:r>
        <w:rPr/>
        <w:t>une</w:t>
      </w:r>
      <w:r>
        <w:rPr>
          <w:spacing w:val="-13"/>
        </w:rPr>
        <w:t> </w:t>
      </w:r>
      <w:r>
        <w:rPr/>
        <w:t>identité conceptuelle, voire une similitude, entre ces signes &amp;bra; 26/03/2021, R 551/2018G, Device (fig.)/Device (fig.), § 79, 85 &amp;ket;. Dans un tel cas, l’aspect conceptuel n’influencera pas la similitude des signes, ce qui est le cas en l’espèce.</w:t>
      </w:r>
    </w:p>
    <w:p>
      <w:pPr>
        <w:pStyle w:val="ListParagraph"/>
        <w:numPr>
          <w:ilvl w:val="0"/>
          <w:numId w:val="2"/>
        </w:numPr>
        <w:tabs>
          <w:tab w:pos="1015" w:val="left" w:leader="none"/>
          <w:tab w:pos="1017" w:val="left" w:leader="none"/>
        </w:tabs>
        <w:spacing w:line="240" w:lineRule="auto" w:before="240" w:after="0"/>
        <w:ind w:left="1017" w:right="162" w:hanging="428"/>
        <w:jc w:val="both"/>
        <w:rPr>
          <w:sz w:val="24"/>
        </w:rPr>
      </w:pPr>
      <w:r>
        <w:rPr>
          <w:sz w:val="24"/>
        </w:rPr>
        <w:t>Selon l’opposante, les marques antérieures jouissent d’une renommée et d’un caractère distinctif élevé en raison de leur usage intensif et de longue date en France pour tous les produits pour lesquels elles sont enregistrées.</w:t>
      </w:r>
    </w:p>
    <w:p>
      <w:pPr>
        <w:pStyle w:val="ListParagraph"/>
        <w:numPr>
          <w:ilvl w:val="0"/>
          <w:numId w:val="2"/>
        </w:numPr>
        <w:tabs>
          <w:tab w:pos="1015" w:val="left" w:leader="none"/>
          <w:tab w:pos="1017" w:val="left" w:leader="none"/>
        </w:tabs>
        <w:spacing w:line="240" w:lineRule="auto" w:before="239" w:after="0"/>
        <w:ind w:left="1017" w:right="162" w:hanging="428"/>
        <w:jc w:val="both"/>
        <w:rPr>
          <w:sz w:val="24"/>
        </w:rPr>
      </w:pPr>
      <w:r>
        <w:rPr>
          <w:sz w:val="24"/>
        </w:rPr>
        <w:t>En</w:t>
      </w:r>
      <w:r>
        <w:rPr>
          <w:spacing w:val="-8"/>
          <w:sz w:val="24"/>
        </w:rPr>
        <w:t> </w:t>
      </w:r>
      <w:r>
        <w:rPr>
          <w:sz w:val="24"/>
        </w:rPr>
        <w:t>l’espèce,</w:t>
      </w:r>
      <w:r>
        <w:rPr>
          <w:spacing w:val="-7"/>
          <w:sz w:val="24"/>
        </w:rPr>
        <w:t> </w:t>
      </w:r>
      <w:r>
        <w:rPr>
          <w:sz w:val="24"/>
        </w:rPr>
        <w:t>le</w:t>
      </w:r>
      <w:r>
        <w:rPr>
          <w:spacing w:val="-7"/>
          <w:sz w:val="24"/>
        </w:rPr>
        <w:t> </w:t>
      </w:r>
      <w:r>
        <w:rPr>
          <w:sz w:val="24"/>
        </w:rPr>
        <w:t>signe</w:t>
      </w:r>
      <w:r>
        <w:rPr>
          <w:spacing w:val="-8"/>
          <w:sz w:val="24"/>
        </w:rPr>
        <w:t> </w:t>
      </w:r>
      <w:r>
        <w:rPr>
          <w:sz w:val="24"/>
        </w:rPr>
        <w:t>contesté</w:t>
      </w:r>
      <w:r>
        <w:rPr>
          <w:spacing w:val="-7"/>
          <w:sz w:val="24"/>
        </w:rPr>
        <w:t> </w:t>
      </w:r>
      <w:r>
        <w:rPr>
          <w:sz w:val="24"/>
        </w:rPr>
        <w:t>a</w:t>
      </w:r>
      <w:r>
        <w:rPr>
          <w:spacing w:val="-8"/>
          <w:sz w:val="24"/>
        </w:rPr>
        <w:t> </w:t>
      </w:r>
      <w:r>
        <w:rPr>
          <w:sz w:val="24"/>
        </w:rPr>
        <w:t>été</w:t>
      </w:r>
      <w:r>
        <w:rPr>
          <w:spacing w:val="-8"/>
          <w:sz w:val="24"/>
        </w:rPr>
        <w:t> </w:t>
      </w:r>
      <w:r>
        <w:rPr>
          <w:sz w:val="24"/>
        </w:rPr>
        <w:t>déposé</w:t>
      </w:r>
      <w:r>
        <w:rPr>
          <w:spacing w:val="-8"/>
          <w:sz w:val="24"/>
        </w:rPr>
        <w:t> </w:t>
      </w:r>
      <w:r>
        <w:rPr>
          <w:sz w:val="24"/>
        </w:rPr>
        <w:t>le</w:t>
      </w:r>
      <w:r>
        <w:rPr>
          <w:spacing w:val="-8"/>
          <w:sz w:val="24"/>
        </w:rPr>
        <w:t> </w:t>
      </w:r>
      <w:r>
        <w:rPr>
          <w:sz w:val="24"/>
        </w:rPr>
        <w:t>9</w:t>
      </w:r>
      <w:r>
        <w:rPr>
          <w:spacing w:val="-7"/>
          <w:sz w:val="24"/>
        </w:rPr>
        <w:t> </w:t>
      </w:r>
      <w:r>
        <w:rPr>
          <w:sz w:val="24"/>
        </w:rPr>
        <w:t>mai</w:t>
      </w:r>
      <w:r>
        <w:rPr>
          <w:spacing w:val="-5"/>
          <w:sz w:val="24"/>
        </w:rPr>
        <w:t> </w:t>
      </w:r>
      <w:r>
        <w:rPr>
          <w:sz w:val="24"/>
        </w:rPr>
        <w:t>2023.</w:t>
      </w:r>
      <w:r>
        <w:rPr>
          <w:spacing w:val="-7"/>
          <w:sz w:val="24"/>
        </w:rPr>
        <w:t> </w:t>
      </w:r>
      <w:r>
        <w:rPr>
          <w:sz w:val="24"/>
        </w:rPr>
        <w:t>Par</w:t>
      </w:r>
      <w:r>
        <w:rPr>
          <w:spacing w:val="-8"/>
          <w:sz w:val="24"/>
        </w:rPr>
        <w:t> </w:t>
      </w:r>
      <w:r>
        <w:rPr>
          <w:sz w:val="24"/>
        </w:rPr>
        <w:t>conséquent,</w:t>
      </w:r>
      <w:r>
        <w:rPr>
          <w:spacing w:val="-7"/>
          <w:sz w:val="24"/>
        </w:rPr>
        <w:t> </w:t>
      </w:r>
      <w:r>
        <w:rPr>
          <w:sz w:val="24"/>
        </w:rPr>
        <w:t>l’opposante était tenue de prouver que les marques sur lesquelles l’opposition est fondée bénéficiaient</w:t>
      </w:r>
      <w:r>
        <w:rPr>
          <w:spacing w:val="-5"/>
          <w:sz w:val="24"/>
        </w:rPr>
        <w:t> </w:t>
      </w:r>
      <w:r>
        <w:rPr>
          <w:sz w:val="24"/>
        </w:rPr>
        <w:t>d’un</w:t>
      </w:r>
      <w:r>
        <w:rPr>
          <w:spacing w:val="-4"/>
          <w:sz w:val="24"/>
        </w:rPr>
        <w:t> </w:t>
      </w:r>
      <w:r>
        <w:rPr>
          <w:sz w:val="24"/>
        </w:rPr>
        <w:t>caractère</w:t>
      </w:r>
      <w:r>
        <w:rPr>
          <w:spacing w:val="-7"/>
          <w:sz w:val="24"/>
        </w:rPr>
        <w:t> </w:t>
      </w:r>
      <w:r>
        <w:rPr>
          <w:sz w:val="24"/>
        </w:rPr>
        <w:t>distinctif</w:t>
      </w:r>
      <w:r>
        <w:rPr>
          <w:spacing w:val="-3"/>
          <w:sz w:val="24"/>
        </w:rPr>
        <w:t> </w:t>
      </w:r>
      <w:r>
        <w:rPr>
          <w:sz w:val="24"/>
        </w:rPr>
        <w:t>élevé</w:t>
      </w:r>
      <w:r>
        <w:rPr>
          <w:spacing w:val="-5"/>
          <w:sz w:val="24"/>
        </w:rPr>
        <w:t> </w:t>
      </w:r>
      <w:r>
        <w:rPr>
          <w:sz w:val="24"/>
        </w:rPr>
        <w:t>en</w:t>
      </w:r>
      <w:r>
        <w:rPr>
          <w:spacing w:val="-6"/>
          <w:sz w:val="24"/>
        </w:rPr>
        <w:t> </w:t>
      </w:r>
      <w:r>
        <w:rPr>
          <w:sz w:val="24"/>
        </w:rPr>
        <w:t>raison</w:t>
      </w:r>
      <w:r>
        <w:rPr>
          <w:spacing w:val="-6"/>
          <w:sz w:val="24"/>
        </w:rPr>
        <w:t> </w:t>
      </w:r>
      <w:r>
        <w:rPr>
          <w:sz w:val="24"/>
        </w:rPr>
        <w:t>d’un</w:t>
      </w:r>
      <w:r>
        <w:rPr>
          <w:spacing w:val="-7"/>
          <w:sz w:val="24"/>
        </w:rPr>
        <w:t> </w:t>
      </w:r>
      <w:r>
        <w:rPr>
          <w:sz w:val="24"/>
        </w:rPr>
        <w:t>usage</w:t>
      </w:r>
      <w:r>
        <w:rPr>
          <w:spacing w:val="-7"/>
          <w:sz w:val="24"/>
        </w:rPr>
        <w:t> </w:t>
      </w:r>
      <w:r>
        <w:rPr>
          <w:sz w:val="24"/>
        </w:rPr>
        <w:t>intensif</w:t>
      </w:r>
      <w:r>
        <w:rPr>
          <w:spacing w:val="-6"/>
          <w:sz w:val="24"/>
        </w:rPr>
        <w:t> </w:t>
      </w:r>
      <w:r>
        <w:rPr>
          <w:sz w:val="24"/>
        </w:rPr>
        <w:t>et</w:t>
      </w:r>
      <w:r>
        <w:rPr>
          <w:spacing w:val="-3"/>
          <w:sz w:val="24"/>
        </w:rPr>
        <w:t> </w:t>
      </w:r>
      <w:r>
        <w:rPr>
          <w:sz w:val="24"/>
        </w:rPr>
        <w:t>de</w:t>
      </w:r>
      <w:r>
        <w:rPr>
          <w:spacing w:val="-7"/>
          <w:sz w:val="24"/>
        </w:rPr>
        <w:t> </w:t>
      </w:r>
      <w:r>
        <w:rPr>
          <w:sz w:val="24"/>
        </w:rPr>
        <w:t>longue date avant cette date.</w:t>
      </w:r>
    </w:p>
    <w:p>
      <w:pPr>
        <w:pStyle w:val="ListParagraph"/>
        <w:numPr>
          <w:ilvl w:val="0"/>
          <w:numId w:val="2"/>
        </w:numPr>
        <w:tabs>
          <w:tab w:pos="1017" w:val="left" w:leader="none"/>
        </w:tabs>
        <w:spacing w:line="240" w:lineRule="auto" w:before="241" w:after="0"/>
        <w:ind w:left="1017" w:right="0" w:hanging="427"/>
        <w:jc w:val="left"/>
        <w:rPr>
          <w:sz w:val="24"/>
        </w:rPr>
      </w:pPr>
      <w:r>
        <w:rPr>
          <w:sz w:val="24"/>
        </w:rPr>
        <w:t>Les éléments</w:t>
      </w:r>
      <w:r>
        <w:rPr>
          <w:spacing w:val="-2"/>
          <w:sz w:val="24"/>
        </w:rPr>
        <w:t> </w:t>
      </w:r>
      <w:r>
        <w:rPr>
          <w:sz w:val="24"/>
        </w:rPr>
        <w:t>de</w:t>
      </w:r>
      <w:r>
        <w:rPr>
          <w:spacing w:val="-2"/>
          <w:sz w:val="24"/>
        </w:rPr>
        <w:t> </w:t>
      </w:r>
      <w:r>
        <w:rPr>
          <w:sz w:val="24"/>
        </w:rPr>
        <w:t>preuve</w:t>
      </w:r>
      <w:r>
        <w:rPr>
          <w:spacing w:val="-2"/>
          <w:sz w:val="24"/>
        </w:rPr>
        <w:t> </w:t>
      </w:r>
      <w:r>
        <w:rPr>
          <w:sz w:val="24"/>
        </w:rPr>
        <w:t>produits</w:t>
      </w:r>
      <w:r>
        <w:rPr>
          <w:spacing w:val="-2"/>
          <w:sz w:val="24"/>
        </w:rPr>
        <w:t> </w:t>
      </w:r>
      <w:r>
        <w:rPr>
          <w:sz w:val="24"/>
        </w:rPr>
        <w:t>par</w:t>
      </w:r>
      <w:r>
        <w:rPr>
          <w:spacing w:val="-4"/>
          <w:sz w:val="24"/>
        </w:rPr>
        <w:t> </w:t>
      </w:r>
      <w:r>
        <w:rPr>
          <w:sz w:val="24"/>
        </w:rPr>
        <w:t>l’opposante</w:t>
      </w:r>
      <w:r>
        <w:rPr>
          <w:spacing w:val="-1"/>
          <w:sz w:val="24"/>
        </w:rPr>
        <w:t> </w:t>
      </w:r>
      <w:r>
        <w:rPr>
          <w:sz w:val="24"/>
        </w:rPr>
        <w:t>se</w:t>
      </w:r>
      <w:r>
        <w:rPr>
          <w:spacing w:val="-2"/>
          <w:sz w:val="24"/>
        </w:rPr>
        <w:t> </w:t>
      </w:r>
      <w:r>
        <w:rPr>
          <w:sz w:val="24"/>
        </w:rPr>
        <w:t>limitent</w:t>
      </w:r>
      <w:r>
        <w:rPr>
          <w:spacing w:val="-2"/>
          <w:sz w:val="24"/>
        </w:rPr>
        <w:t> </w:t>
      </w:r>
      <w:r>
        <w:rPr>
          <w:sz w:val="24"/>
        </w:rPr>
        <w:t>aux</w:t>
      </w:r>
      <w:r>
        <w:rPr>
          <w:spacing w:val="1"/>
          <w:sz w:val="24"/>
        </w:rPr>
        <w:t> </w:t>
      </w:r>
      <w:r>
        <w:rPr>
          <w:sz w:val="24"/>
        </w:rPr>
        <w:t>produits</w:t>
      </w:r>
      <w:r>
        <w:rPr>
          <w:spacing w:val="-2"/>
          <w:sz w:val="24"/>
        </w:rPr>
        <w:t> suivants:</w:t>
      </w:r>
    </w:p>
    <w:p>
      <w:pPr>
        <w:pStyle w:val="BodyText"/>
        <w:rPr>
          <w:sz w:val="18"/>
        </w:rPr>
      </w:pPr>
    </w:p>
    <w:p>
      <w:pPr>
        <w:pStyle w:val="BodyText"/>
        <w:rPr>
          <w:sz w:val="18"/>
        </w:rPr>
      </w:pPr>
    </w:p>
    <w:p>
      <w:pPr>
        <w:pStyle w:val="BodyText"/>
        <w:spacing w:before="63"/>
        <w:rPr>
          <w:sz w:val="18"/>
        </w:rPr>
      </w:pPr>
    </w:p>
    <w:p>
      <w:pPr>
        <w:spacing w:before="0"/>
        <w:ind w:left="2737" w:right="2738" w:firstLine="0"/>
        <w:jc w:val="center"/>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p>
      <w:pPr>
        <w:spacing w:after="0"/>
        <w:jc w:val="center"/>
        <w:rPr>
          <w:sz w:val="18"/>
        </w:rPr>
        <w:sectPr>
          <w:pgSz w:w="11910" w:h="16840"/>
          <w:pgMar w:header="970" w:footer="0" w:top="1180" w:bottom="280" w:left="1275" w:right="1275"/>
        </w:sectPr>
      </w:pPr>
    </w:p>
    <w:p>
      <w:pPr>
        <w:pStyle w:val="ListParagraph"/>
        <w:numPr>
          <w:ilvl w:val="1"/>
          <w:numId w:val="2"/>
        </w:numPr>
        <w:tabs>
          <w:tab w:pos="1442" w:val="left" w:leader="none"/>
        </w:tabs>
        <w:spacing w:line="240" w:lineRule="auto" w:before="251" w:after="0"/>
        <w:ind w:left="1442" w:right="0" w:hanging="425"/>
        <w:jc w:val="left"/>
        <w:rPr>
          <w:sz w:val="24"/>
        </w:rPr>
      </w:pPr>
      <w:r>
        <w:rPr>
          <w:sz w:val="24"/>
        </w:rPr>
        <mc:AlternateContent>
          <mc:Choice Requires="wps">
            <w:drawing>
              <wp:anchor distT="0" distB="0" distL="0" distR="0" allowOverlap="1" layoutInCell="1" locked="0" behindDoc="0" simplePos="0" relativeHeight="15733248">
                <wp:simplePos x="0" y="0"/>
                <wp:positionH relativeFrom="page">
                  <wp:posOffset>270575</wp:posOffset>
                </wp:positionH>
                <wp:positionV relativeFrom="page">
                  <wp:posOffset>1114363</wp:posOffset>
                </wp:positionV>
                <wp:extent cx="146050" cy="921004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46050" cy="9210040"/>
                        </a:xfrm>
                        <a:prstGeom prst="rect">
                          <a:avLst/>
                        </a:prstGeom>
                      </wps:spPr>
                      <wps:txbx>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wps:txbx>
                      <wps:bodyPr wrap="square" lIns="0" tIns="0" rIns="0" bIns="0" rtlCol="0" vert="vert270">
                        <a:noAutofit/>
                      </wps:bodyPr>
                    </wps:wsp>
                  </a:graphicData>
                </a:graphic>
              </wp:anchor>
            </w:drawing>
          </mc:Choice>
          <mc:Fallback>
            <w:pict>
              <v:shape style="position:absolute;margin-left:21.305176pt;margin-top:87.745193pt;width:11.5pt;height:725.2pt;mso-position-horizontal-relative:page;mso-position-vertical-relative:page;z-index:15733248" type="#_x0000_t202" id="docshape9" filled="false" stroked="false">
                <v:textbox inset="0,0,0,0" style="layout-flow:vertical;mso-layout-flow-alt:bottom-to-top">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v:textbox>
                <w10:wrap type="none"/>
              </v:shape>
            </w:pict>
          </mc:Fallback>
        </mc:AlternateContent>
      </w:r>
      <w:r>
        <w:rPr>
          <w:sz w:val="24"/>
        </w:rPr>
        <w:t>Une</w:t>
      </w:r>
      <w:r>
        <w:rPr>
          <w:spacing w:val="-4"/>
          <w:sz w:val="24"/>
        </w:rPr>
        <w:t> </w:t>
      </w:r>
      <w:r>
        <w:rPr>
          <w:sz w:val="24"/>
        </w:rPr>
        <w:t>impression</w:t>
      </w:r>
      <w:r>
        <w:rPr>
          <w:spacing w:val="-1"/>
          <w:sz w:val="24"/>
        </w:rPr>
        <w:t> </w:t>
      </w:r>
      <w:r>
        <w:rPr>
          <w:sz w:val="24"/>
        </w:rPr>
        <w:t>de</w:t>
      </w:r>
      <w:r>
        <w:rPr>
          <w:spacing w:val="-3"/>
          <w:sz w:val="24"/>
        </w:rPr>
        <w:t> </w:t>
      </w:r>
      <w:r>
        <w:rPr>
          <w:sz w:val="24"/>
        </w:rPr>
        <w:t>la</w:t>
      </w:r>
      <w:r>
        <w:rPr>
          <w:spacing w:val="-1"/>
          <w:sz w:val="24"/>
        </w:rPr>
        <w:t> </w:t>
      </w:r>
      <w:r>
        <w:rPr>
          <w:sz w:val="24"/>
        </w:rPr>
        <w:t>page</w:t>
      </w:r>
      <w:r>
        <w:rPr>
          <w:spacing w:val="-3"/>
          <w:sz w:val="24"/>
        </w:rPr>
        <w:t> </w:t>
      </w:r>
      <w:r>
        <w:rPr>
          <w:sz w:val="24"/>
        </w:rPr>
        <w:t>Wikipédia</w:t>
      </w:r>
      <w:r>
        <w:rPr>
          <w:spacing w:val="-1"/>
          <w:sz w:val="24"/>
        </w:rPr>
        <w:t> </w:t>
      </w:r>
      <w:r>
        <w:rPr>
          <w:sz w:val="24"/>
        </w:rPr>
        <w:t>d’un</w:t>
      </w:r>
      <w:r>
        <w:rPr>
          <w:spacing w:val="-2"/>
          <w:sz w:val="24"/>
        </w:rPr>
        <w:t> </w:t>
      </w:r>
      <w:r>
        <w:rPr>
          <w:sz w:val="24"/>
        </w:rPr>
        <w:t>parfum</w:t>
      </w:r>
      <w:r>
        <w:rPr>
          <w:spacing w:val="1"/>
          <w:sz w:val="24"/>
        </w:rPr>
        <w:t> </w:t>
      </w:r>
      <w:r>
        <w:rPr>
          <w:sz w:val="24"/>
        </w:rPr>
        <w:t>dénommé</w:t>
      </w:r>
      <w:r>
        <w:rPr>
          <w:spacing w:val="1"/>
          <w:sz w:val="24"/>
        </w:rPr>
        <w:t> </w:t>
      </w:r>
      <w:r>
        <w:rPr>
          <w:sz w:val="24"/>
        </w:rPr>
        <w:t>«Chanel</w:t>
      </w:r>
      <w:r>
        <w:rPr>
          <w:spacing w:val="-1"/>
          <w:sz w:val="24"/>
        </w:rPr>
        <w:t> </w:t>
      </w:r>
      <w:r>
        <w:rPr>
          <w:sz w:val="24"/>
        </w:rPr>
        <w:t>no</w:t>
      </w:r>
      <w:r>
        <w:rPr>
          <w:spacing w:val="-1"/>
          <w:sz w:val="24"/>
        </w:rPr>
        <w:t> </w:t>
      </w:r>
      <w:r>
        <w:rPr>
          <w:spacing w:val="-5"/>
          <w:sz w:val="24"/>
        </w:rPr>
        <w:t>5»;</w:t>
      </w:r>
    </w:p>
    <w:p>
      <w:pPr>
        <w:pStyle w:val="ListParagraph"/>
        <w:numPr>
          <w:ilvl w:val="1"/>
          <w:numId w:val="2"/>
        </w:numPr>
        <w:tabs>
          <w:tab w:pos="1442" w:val="left" w:leader="none"/>
        </w:tabs>
        <w:spacing w:line="240" w:lineRule="auto" w:before="236" w:after="0"/>
        <w:ind w:left="1442" w:right="160" w:hanging="425"/>
        <w:jc w:val="both"/>
        <w:rPr>
          <w:sz w:val="24"/>
        </w:rPr>
      </w:pPr>
      <w:r>
        <w:rPr>
          <w:sz w:val="24"/>
        </w:rPr>
        <w:t>Une</w:t>
      </w:r>
      <w:r>
        <w:rPr>
          <w:spacing w:val="-13"/>
          <w:sz w:val="24"/>
        </w:rPr>
        <w:t> </w:t>
      </w:r>
      <w:r>
        <w:rPr>
          <w:sz w:val="24"/>
        </w:rPr>
        <w:t>brochure</w:t>
      </w:r>
      <w:r>
        <w:rPr>
          <w:spacing w:val="-13"/>
          <w:sz w:val="24"/>
        </w:rPr>
        <w:t> </w:t>
      </w:r>
      <w:r>
        <w:rPr>
          <w:sz w:val="24"/>
        </w:rPr>
        <w:t>en</w:t>
      </w:r>
      <w:r>
        <w:rPr>
          <w:spacing w:val="-12"/>
          <w:sz w:val="24"/>
        </w:rPr>
        <w:t> </w:t>
      </w:r>
      <w:r>
        <w:rPr>
          <w:sz w:val="24"/>
        </w:rPr>
        <w:t>anglais</w:t>
      </w:r>
      <w:r>
        <w:rPr>
          <w:spacing w:val="-11"/>
          <w:sz w:val="24"/>
        </w:rPr>
        <w:t> </w:t>
      </w:r>
      <w:r>
        <w:rPr>
          <w:sz w:val="24"/>
        </w:rPr>
        <w:t>indiquant</w:t>
      </w:r>
      <w:r>
        <w:rPr>
          <w:spacing w:val="-11"/>
          <w:sz w:val="24"/>
        </w:rPr>
        <w:t> </w:t>
      </w:r>
      <w:r>
        <w:rPr>
          <w:sz w:val="24"/>
        </w:rPr>
        <w:t>le</w:t>
      </w:r>
      <w:r>
        <w:rPr>
          <w:spacing w:val="-12"/>
          <w:sz w:val="24"/>
        </w:rPr>
        <w:t> </w:t>
      </w:r>
      <w:r>
        <w:rPr>
          <w:sz w:val="24"/>
        </w:rPr>
        <w:t>nom</w:t>
      </w:r>
      <w:r>
        <w:rPr>
          <w:spacing w:val="-11"/>
          <w:sz w:val="24"/>
        </w:rPr>
        <w:t> </w:t>
      </w:r>
      <w:r>
        <w:rPr>
          <w:sz w:val="24"/>
        </w:rPr>
        <w:t>de</w:t>
      </w:r>
      <w:r>
        <w:rPr>
          <w:spacing w:val="-14"/>
          <w:sz w:val="24"/>
        </w:rPr>
        <w:t> </w:t>
      </w:r>
      <w:r>
        <w:rPr>
          <w:sz w:val="24"/>
        </w:rPr>
        <w:t>l’opposante</w:t>
      </w:r>
      <w:r>
        <w:rPr>
          <w:spacing w:val="-12"/>
          <w:sz w:val="24"/>
        </w:rPr>
        <w:t> </w:t>
      </w:r>
      <w:r>
        <w:rPr>
          <w:sz w:val="24"/>
        </w:rPr>
        <w:t>et</w:t>
      </w:r>
      <w:r>
        <w:rPr>
          <w:spacing w:val="-11"/>
          <w:sz w:val="24"/>
        </w:rPr>
        <w:t> </w:t>
      </w:r>
      <w:r>
        <w:rPr>
          <w:sz w:val="24"/>
        </w:rPr>
        <w:t>montrant</w:t>
      </w:r>
      <w:r>
        <w:rPr>
          <w:spacing w:val="-11"/>
          <w:sz w:val="24"/>
        </w:rPr>
        <w:t> </w:t>
      </w:r>
      <w:r>
        <w:rPr>
          <w:sz w:val="24"/>
        </w:rPr>
        <w:t>les</w:t>
      </w:r>
      <w:r>
        <w:rPr>
          <w:spacing w:val="-12"/>
          <w:sz w:val="24"/>
        </w:rPr>
        <w:t> </w:t>
      </w:r>
      <w:r>
        <w:rPr>
          <w:sz w:val="24"/>
        </w:rPr>
        <w:t>marques antérieures en rapport avec un parfum.</w:t>
      </w:r>
    </w:p>
    <w:p>
      <w:pPr>
        <w:pStyle w:val="ListParagraph"/>
        <w:numPr>
          <w:ilvl w:val="1"/>
          <w:numId w:val="2"/>
        </w:numPr>
        <w:tabs>
          <w:tab w:pos="1442" w:val="left" w:leader="none"/>
        </w:tabs>
        <w:spacing w:line="240" w:lineRule="auto" w:before="239" w:after="0"/>
        <w:ind w:left="1442" w:right="163" w:hanging="425"/>
        <w:jc w:val="both"/>
        <w:rPr>
          <w:sz w:val="24"/>
        </w:rPr>
      </w:pPr>
      <w:r>
        <w:rPr>
          <w:sz w:val="24"/>
        </w:rPr>
        <w:t>Photographies (incluses dans les observations de l’opposante) de matériel publicitaire</w:t>
      </w:r>
      <w:r>
        <w:rPr>
          <w:spacing w:val="-8"/>
          <w:sz w:val="24"/>
        </w:rPr>
        <w:t> </w:t>
      </w:r>
      <w:r>
        <w:rPr>
          <w:sz w:val="24"/>
        </w:rPr>
        <w:t>supplémentaire</w:t>
      </w:r>
      <w:r>
        <w:rPr>
          <w:spacing w:val="-8"/>
          <w:sz w:val="24"/>
        </w:rPr>
        <w:t> </w:t>
      </w:r>
      <w:r>
        <w:rPr>
          <w:sz w:val="24"/>
        </w:rPr>
        <w:t>montrant</w:t>
      </w:r>
      <w:r>
        <w:rPr>
          <w:spacing w:val="-7"/>
          <w:sz w:val="24"/>
        </w:rPr>
        <w:t> </w:t>
      </w:r>
      <w:r>
        <w:rPr>
          <w:sz w:val="24"/>
        </w:rPr>
        <w:t>les</w:t>
      </w:r>
      <w:r>
        <w:rPr>
          <w:spacing w:val="-7"/>
          <w:sz w:val="24"/>
        </w:rPr>
        <w:t> </w:t>
      </w:r>
      <w:r>
        <w:rPr>
          <w:sz w:val="24"/>
        </w:rPr>
        <w:t>marques</w:t>
      </w:r>
      <w:r>
        <w:rPr>
          <w:spacing w:val="-5"/>
          <w:sz w:val="24"/>
        </w:rPr>
        <w:t> </w:t>
      </w:r>
      <w:r>
        <w:rPr>
          <w:sz w:val="24"/>
        </w:rPr>
        <w:t>antérieures</w:t>
      </w:r>
      <w:r>
        <w:rPr>
          <w:spacing w:val="-7"/>
          <w:sz w:val="24"/>
        </w:rPr>
        <w:t> </w:t>
      </w:r>
      <w:r>
        <w:rPr>
          <w:sz w:val="24"/>
        </w:rPr>
        <w:t>en</w:t>
      </w:r>
      <w:r>
        <w:rPr>
          <w:spacing w:val="-7"/>
          <w:sz w:val="24"/>
        </w:rPr>
        <w:t> </w:t>
      </w:r>
      <w:r>
        <w:rPr>
          <w:sz w:val="24"/>
        </w:rPr>
        <w:t>rapport</w:t>
      </w:r>
      <w:r>
        <w:rPr>
          <w:spacing w:val="-8"/>
          <w:sz w:val="24"/>
        </w:rPr>
        <w:t> </w:t>
      </w:r>
      <w:r>
        <w:rPr>
          <w:sz w:val="24"/>
        </w:rPr>
        <w:t>avec</w:t>
      </w:r>
      <w:r>
        <w:rPr>
          <w:spacing w:val="-8"/>
          <w:sz w:val="24"/>
        </w:rPr>
        <w:t> </w:t>
      </w:r>
      <w:r>
        <w:rPr>
          <w:sz w:val="24"/>
        </w:rPr>
        <w:t>des parfums et diverses célébrités. Les photographies indiquent les noms des célébrités et l’année concernée. La première publicité remonte à 1957 et la dernière date de 2014, soit neuf ans avant la date de dépôt du signe contesté. Il n’y</w:t>
      </w:r>
      <w:r>
        <w:rPr>
          <w:spacing w:val="-14"/>
          <w:sz w:val="24"/>
        </w:rPr>
        <w:t> </w:t>
      </w:r>
      <w:r>
        <w:rPr>
          <w:sz w:val="24"/>
        </w:rPr>
        <w:t>a</w:t>
      </w:r>
      <w:r>
        <w:rPr>
          <w:spacing w:val="-11"/>
          <w:sz w:val="24"/>
        </w:rPr>
        <w:t> </w:t>
      </w:r>
      <w:r>
        <w:rPr>
          <w:sz w:val="24"/>
        </w:rPr>
        <w:t>aucune</w:t>
      </w:r>
      <w:r>
        <w:rPr>
          <w:spacing w:val="-11"/>
          <w:sz w:val="24"/>
        </w:rPr>
        <w:t> </w:t>
      </w:r>
      <w:r>
        <w:rPr>
          <w:sz w:val="24"/>
        </w:rPr>
        <w:t>information</w:t>
      </w:r>
      <w:r>
        <w:rPr>
          <w:spacing w:val="-9"/>
          <w:sz w:val="24"/>
        </w:rPr>
        <w:t> </w:t>
      </w:r>
      <w:r>
        <w:rPr>
          <w:sz w:val="24"/>
        </w:rPr>
        <w:t>quant</w:t>
      </w:r>
      <w:r>
        <w:rPr>
          <w:spacing w:val="-12"/>
          <w:sz w:val="24"/>
        </w:rPr>
        <w:t> </w:t>
      </w:r>
      <w:r>
        <w:rPr>
          <w:sz w:val="24"/>
        </w:rPr>
        <w:t>à</w:t>
      </w:r>
      <w:r>
        <w:rPr>
          <w:spacing w:val="-13"/>
          <w:sz w:val="24"/>
        </w:rPr>
        <w:t> </w:t>
      </w:r>
      <w:r>
        <w:rPr>
          <w:sz w:val="24"/>
        </w:rPr>
        <w:t>la</w:t>
      </w:r>
      <w:r>
        <w:rPr>
          <w:spacing w:val="-10"/>
          <w:sz w:val="24"/>
        </w:rPr>
        <w:t> </w:t>
      </w:r>
      <w:r>
        <w:rPr>
          <w:sz w:val="24"/>
        </w:rPr>
        <w:t>personne</w:t>
      </w:r>
      <w:r>
        <w:rPr>
          <w:spacing w:val="-13"/>
          <w:sz w:val="24"/>
        </w:rPr>
        <w:t> </w:t>
      </w:r>
      <w:r>
        <w:rPr>
          <w:sz w:val="24"/>
        </w:rPr>
        <w:t>qui</w:t>
      </w:r>
      <w:r>
        <w:rPr>
          <w:spacing w:val="-12"/>
          <w:sz w:val="24"/>
        </w:rPr>
        <w:t> </w:t>
      </w:r>
      <w:r>
        <w:rPr>
          <w:sz w:val="24"/>
        </w:rPr>
        <w:t>a</w:t>
      </w:r>
      <w:r>
        <w:rPr>
          <w:spacing w:val="-8"/>
          <w:sz w:val="24"/>
        </w:rPr>
        <w:t> </w:t>
      </w:r>
      <w:r>
        <w:rPr>
          <w:sz w:val="24"/>
        </w:rPr>
        <w:t>ajouté</w:t>
      </w:r>
      <w:r>
        <w:rPr>
          <w:spacing w:val="-13"/>
          <w:sz w:val="24"/>
        </w:rPr>
        <w:t> </w:t>
      </w:r>
      <w:r>
        <w:rPr>
          <w:sz w:val="24"/>
        </w:rPr>
        <w:t>les</w:t>
      </w:r>
      <w:r>
        <w:rPr>
          <w:spacing w:val="-12"/>
          <w:sz w:val="24"/>
        </w:rPr>
        <w:t> </w:t>
      </w:r>
      <w:r>
        <w:rPr>
          <w:sz w:val="24"/>
        </w:rPr>
        <w:t>annotations</w:t>
      </w:r>
      <w:r>
        <w:rPr>
          <w:spacing w:val="-12"/>
          <w:sz w:val="24"/>
        </w:rPr>
        <w:t> </w:t>
      </w:r>
      <w:r>
        <w:rPr>
          <w:sz w:val="24"/>
        </w:rPr>
        <w:t>et</w:t>
      </w:r>
      <w:r>
        <w:rPr>
          <w:spacing w:val="-12"/>
          <w:sz w:val="24"/>
        </w:rPr>
        <w:t> </w:t>
      </w:r>
      <w:r>
        <w:rPr>
          <w:sz w:val="24"/>
        </w:rPr>
        <w:t>à</w:t>
      </w:r>
      <w:r>
        <w:rPr>
          <w:spacing w:val="-11"/>
          <w:sz w:val="24"/>
        </w:rPr>
        <w:t> </w:t>
      </w:r>
      <w:r>
        <w:rPr>
          <w:sz w:val="24"/>
        </w:rPr>
        <w:t>quel </w:t>
      </w:r>
      <w:r>
        <w:rPr>
          <w:spacing w:val="-2"/>
          <w:sz w:val="24"/>
        </w:rPr>
        <w:t>moment.</w:t>
      </w:r>
    </w:p>
    <w:p>
      <w:pPr>
        <w:pStyle w:val="ListParagraph"/>
        <w:numPr>
          <w:ilvl w:val="1"/>
          <w:numId w:val="2"/>
        </w:numPr>
        <w:tabs>
          <w:tab w:pos="1442" w:val="left" w:leader="none"/>
        </w:tabs>
        <w:spacing w:line="240" w:lineRule="auto" w:before="239" w:after="0"/>
        <w:ind w:left="1442" w:right="166" w:hanging="425"/>
        <w:jc w:val="both"/>
        <w:rPr>
          <w:sz w:val="24"/>
        </w:rPr>
      </w:pPr>
      <w:r>
        <w:rPr>
          <w:sz w:val="24"/>
        </w:rPr>
        <w:t>Une photographie (incluse dans les observations de l’opposante) d’un magasin physique indiquant le nom de l’opposante et portant le numéro «5»</w:t>
      </w:r>
      <w:r>
        <w:rPr>
          <w:spacing w:val="-4"/>
          <w:sz w:val="24"/>
        </w:rPr>
        <w:t> </w:t>
      </w:r>
      <w:r>
        <w:rPr>
          <w:sz w:val="24"/>
        </w:rPr>
        <w:t>en rouge sur l’une de ses vitres.</w:t>
      </w:r>
    </w:p>
    <w:p>
      <w:pPr>
        <w:pStyle w:val="ListParagraph"/>
        <w:numPr>
          <w:ilvl w:val="0"/>
          <w:numId w:val="2"/>
        </w:numPr>
        <w:tabs>
          <w:tab w:pos="1015" w:val="left" w:leader="none"/>
          <w:tab w:pos="1017" w:val="left" w:leader="none"/>
        </w:tabs>
        <w:spacing w:line="240" w:lineRule="auto" w:before="242" w:after="0"/>
        <w:ind w:left="1017" w:right="165" w:hanging="428"/>
        <w:jc w:val="both"/>
        <w:rPr>
          <w:sz w:val="24"/>
        </w:rPr>
      </w:pPr>
      <w:r>
        <w:rPr>
          <w:sz w:val="24"/>
        </w:rPr>
        <w:t>Or, selon une jurisprudence constante, un extrait de Wikipédia manque de certitude en tant que source d’information, puisqu’il est tiré d’une encyclopédie collective établie</w:t>
      </w:r>
      <w:r>
        <w:rPr>
          <w:spacing w:val="-2"/>
          <w:sz w:val="24"/>
        </w:rPr>
        <w:t> </w:t>
      </w:r>
      <w:r>
        <w:rPr>
          <w:sz w:val="24"/>
        </w:rPr>
        <w:t>sur Internet,</w:t>
      </w:r>
      <w:r>
        <w:rPr>
          <w:spacing w:val="-1"/>
          <w:sz w:val="24"/>
        </w:rPr>
        <w:t> </w:t>
      </w:r>
      <w:r>
        <w:rPr>
          <w:sz w:val="24"/>
        </w:rPr>
        <w:t>dont</w:t>
      </w:r>
      <w:r>
        <w:rPr>
          <w:spacing w:val="-1"/>
          <w:sz w:val="24"/>
        </w:rPr>
        <w:t> </w:t>
      </w:r>
      <w:r>
        <w:rPr>
          <w:sz w:val="24"/>
        </w:rPr>
        <w:t>le</w:t>
      </w:r>
      <w:r>
        <w:rPr>
          <w:spacing w:val="-2"/>
          <w:sz w:val="24"/>
        </w:rPr>
        <w:t> </w:t>
      </w:r>
      <w:r>
        <w:rPr>
          <w:sz w:val="24"/>
        </w:rPr>
        <w:t>contenu</w:t>
      </w:r>
      <w:r>
        <w:rPr>
          <w:spacing w:val="-2"/>
          <w:sz w:val="24"/>
        </w:rPr>
        <w:t> </w:t>
      </w:r>
      <w:r>
        <w:rPr>
          <w:sz w:val="24"/>
        </w:rPr>
        <w:t>peut</w:t>
      </w:r>
      <w:r>
        <w:rPr>
          <w:spacing w:val="-1"/>
          <w:sz w:val="24"/>
        </w:rPr>
        <w:t> </w:t>
      </w:r>
      <w:r>
        <w:rPr>
          <w:sz w:val="24"/>
        </w:rPr>
        <w:t>être</w:t>
      </w:r>
      <w:r>
        <w:rPr>
          <w:spacing w:val="-2"/>
          <w:sz w:val="24"/>
        </w:rPr>
        <w:t> </w:t>
      </w:r>
      <w:r>
        <w:rPr>
          <w:sz w:val="24"/>
        </w:rPr>
        <w:t>modifié</w:t>
      </w:r>
      <w:r>
        <w:rPr>
          <w:spacing w:val="-3"/>
          <w:sz w:val="24"/>
        </w:rPr>
        <w:t> </w:t>
      </w:r>
      <w:r>
        <w:rPr>
          <w:sz w:val="24"/>
        </w:rPr>
        <w:t>à</w:t>
      </w:r>
      <w:r>
        <w:rPr>
          <w:spacing w:val="-2"/>
          <w:sz w:val="24"/>
        </w:rPr>
        <w:t> </w:t>
      </w:r>
      <w:r>
        <w:rPr>
          <w:sz w:val="24"/>
        </w:rPr>
        <w:t>tout</w:t>
      </w:r>
      <w:r>
        <w:rPr>
          <w:spacing w:val="-1"/>
          <w:sz w:val="24"/>
        </w:rPr>
        <w:t> </w:t>
      </w:r>
      <w:r>
        <w:rPr>
          <w:sz w:val="24"/>
        </w:rPr>
        <w:t>moment</w:t>
      </w:r>
      <w:r>
        <w:rPr>
          <w:spacing w:val="-1"/>
          <w:sz w:val="24"/>
        </w:rPr>
        <w:t> </w:t>
      </w:r>
      <w:r>
        <w:rPr>
          <w:sz w:val="24"/>
        </w:rPr>
        <w:t>et,</w:t>
      </w:r>
      <w:r>
        <w:rPr>
          <w:spacing w:val="-1"/>
          <w:sz w:val="24"/>
        </w:rPr>
        <w:t> </w:t>
      </w:r>
      <w:r>
        <w:rPr>
          <w:sz w:val="24"/>
        </w:rPr>
        <w:t>dans</w:t>
      </w:r>
      <w:r>
        <w:rPr>
          <w:spacing w:val="-1"/>
          <w:sz w:val="24"/>
        </w:rPr>
        <w:t> </w:t>
      </w:r>
      <w:r>
        <w:rPr>
          <w:sz w:val="24"/>
        </w:rPr>
        <w:t>certains cas, par tout visiteur, même anonyme.</w:t>
      </w:r>
    </w:p>
    <w:p>
      <w:pPr>
        <w:pStyle w:val="ListParagraph"/>
        <w:numPr>
          <w:ilvl w:val="0"/>
          <w:numId w:val="2"/>
        </w:numPr>
        <w:tabs>
          <w:tab w:pos="1015" w:val="left" w:leader="none"/>
          <w:tab w:pos="1017" w:val="left" w:leader="none"/>
        </w:tabs>
        <w:spacing w:line="240" w:lineRule="auto" w:before="239" w:after="0"/>
        <w:ind w:left="1017" w:right="161" w:hanging="428"/>
        <w:jc w:val="both"/>
        <w:rPr>
          <w:sz w:val="24"/>
        </w:rPr>
      </w:pPr>
      <w:r>
        <w:rPr>
          <w:sz w:val="24"/>
        </w:rPr>
        <w:t>Il</w:t>
      </w:r>
      <w:r>
        <w:rPr>
          <w:spacing w:val="-3"/>
          <w:sz w:val="24"/>
        </w:rPr>
        <w:t> </w:t>
      </w:r>
      <w:r>
        <w:rPr>
          <w:sz w:val="24"/>
        </w:rPr>
        <w:t>est</w:t>
      </w:r>
      <w:r>
        <w:rPr>
          <w:spacing w:val="-3"/>
          <w:sz w:val="24"/>
        </w:rPr>
        <w:t> </w:t>
      </w:r>
      <w:r>
        <w:rPr>
          <w:sz w:val="24"/>
        </w:rPr>
        <w:t>vrai</w:t>
      </w:r>
      <w:r>
        <w:rPr>
          <w:spacing w:val="-3"/>
          <w:sz w:val="24"/>
        </w:rPr>
        <w:t> </w:t>
      </w:r>
      <w:r>
        <w:rPr>
          <w:sz w:val="24"/>
        </w:rPr>
        <w:t>qu’une</w:t>
      </w:r>
      <w:r>
        <w:rPr>
          <w:spacing w:val="-4"/>
          <w:sz w:val="24"/>
        </w:rPr>
        <w:t> </w:t>
      </w:r>
      <w:r>
        <w:rPr>
          <w:sz w:val="24"/>
        </w:rPr>
        <w:t>partie</w:t>
      </w:r>
      <w:r>
        <w:rPr>
          <w:spacing w:val="-4"/>
          <w:sz w:val="24"/>
        </w:rPr>
        <w:t> </w:t>
      </w:r>
      <w:r>
        <w:rPr>
          <w:sz w:val="24"/>
        </w:rPr>
        <w:t>du</w:t>
      </w:r>
      <w:r>
        <w:rPr>
          <w:spacing w:val="-3"/>
          <w:sz w:val="24"/>
        </w:rPr>
        <w:t> </w:t>
      </w:r>
      <w:r>
        <w:rPr>
          <w:sz w:val="24"/>
        </w:rPr>
        <w:t>matériel</w:t>
      </w:r>
      <w:r>
        <w:rPr>
          <w:spacing w:val="-3"/>
          <w:sz w:val="24"/>
        </w:rPr>
        <w:t> </w:t>
      </w:r>
      <w:r>
        <w:rPr>
          <w:sz w:val="24"/>
        </w:rPr>
        <w:t>publicitaire</w:t>
      </w:r>
      <w:r>
        <w:rPr>
          <w:spacing w:val="-4"/>
          <w:sz w:val="24"/>
        </w:rPr>
        <w:t> </w:t>
      </w:r>
      <w:r>
        <w:rPr>
          <w:sz w:val="24"/>
        </w:rPr>
        <w:t>peut</w:t>
      </w:r>
      <w:r>
        <w:rPr>
          <w:spacing w:val="-3"/>
          <w:sz w:val="24"/>
        </w:rPr>
        <w:t> </w:t>
      </w:r>
      <w:r>
        <w:rPr>
          <w:sz w:val="24"/>
        </w:rPr>
        <w:t>être</w:t>
      </w:r>
      <w:r>
        <w:rPr>
          <w:spacing w:val="-4"/>
          <w:sz w:val="24"/>
        </w:rPr>
        <w:t> </w:t>
      </w:r>
      <w:r>
        <w:rPr>
          <w:sz w:val="24"/>
        </w:rPr>
        <w:t>utilisée</w:t>
      </w:r>
      <w:r>
        <w:rPr>
          <w:spacing w:val="-4"/>
          <w:sz w:val="24"/>
        </w:rPr>
        <w:t> </w:t>
      </w:r>
      <w:r>
        <w:rPr>
          <w:sz w:val="24"/>
        </w:rPr>
        <w:t>comme</w:t>
      </w:r>
      <w:r>
        <w:rPr>
          <w:spacing w:val="-4"/>
          <w:sz w:val="24"/>
        </w:rPr>
        <w:t> </w:t>
      </w:r>
      <w:r>
        <w:rPr>
          <w:sz w:val="24"/>
        </w:rPr>
        <w:t>preuve</w:t>
      </w:r>
      <w:r>
        <w:rPr>
          <w:spacing w:val="-4"/>
          <w:sz w:val="24"/>
        </w:rPr>
        <w:t> </w:t>
      </w:r>
      <w:r>
        <w:rPr>
          <w:sz w:val="24"/>
        </w:rPr>
        <w:t>de</w:t>
      </w:r>
      <w:r>
        <w:rPr>
          <w:spacing w:val="-4"/>
          <w:sz w:val="24"/>
        </w:rPr>
        <w:t> </w:t>
      </w:r>
      <w:r>
        <w:rPr>
          <w:sz w:val="24"/>
        </w:rPr>
        <w:t>la longévité des marques antérieures et que l’apparition de diverses célébrités dans lesdits documents parle des moyens financiers absorbés par les campagnes publicitaires.</w:t>
      </w:r>
      <w:r>
        <w:rPr>
          <w:spacing w:val="-1"/>
          <w:sz w:val="24"/>
        </w:rPr>
        <w:t> </w:t>
      </w:r>
      <w:r>
        <w:rPr>
          <w:sz w:val="24"/>
        </w:rPr>
        <w:t>Toutefois, aucun</w:t>
      </w:r>
      <w:r>
        <w:rPr>
          <w:spacing w:val="-1"/>
          <w:sz w:val="24"/>
        </w:rPr>
        <w:t> </w:t>
      </w:r>
      <w:r>
        <w:rPr>
          <w:sz w:val="24"/>
        </w:rPr>
        <w:t>élément</w:t>
      </w:r>
      <w:r>
        <w:rPr>
          <w:spacing w:val="-1"/>
          <w:sz w:val="24"/>
        </w:rPr>
        <w:t> </w:t>
      </w:r>
      <w:r>
        <w:rPr>
          <w:sz w:val="24"/>
        </w:rPr>
        <w:t>de</w:t>
      </w:r>
      <w:r>
        <w:rPr>
          <w:spacing w:val="-2"/>
          <w:sz w:val="24"/>
        </w:rPr>
        <w:t> </w:t>
      </w:r>
      <w:r>
        <w:rPr>
          <w:sz w:val="24"/>
        </w:rPr>
        <w:t>preuve n’indique</w:t>
      </w:r>
      <w:r>
        <w:rPr>
          <w:spacing w:val="-2"/>
          <w:sz w:val="24"/>
        </w:rPr>
        <w:t> </w:t>
      </w:r>
      <w:r>
        <w:rPr>
          <w:sz w:val="24"/>
        </w:rPr>
        <w:t>comment,</w:t>
      </w:r>
      <w:r>
        <w:rPr>
          <w:spacing w:val="-1"/>
          <w:sz w:val="24"/>
        </w:rPr>
        <w:t> </w:t>
      </w:r>
      <w:r>
        <w:rPr>
          <w:sz w:val="24"/>
        </w:rPr>
        <w:t>quand</w:t>
      </w:r>
      <w:r>
        <w:rPr>
          <w:spacing w:val="-1"/>
          <w:sz w:val="24"/>
        </w:rPr>
        <w:t> </w:t>
      </w:r>
      <w:r>
        <w:rPr>
          <w:sz w:val="24"/>
        </w:rPr>
        <w:t>et</w:t>
      </w:r>
      <w:r>
        <w:rPr>
          <w:spacing w:val="-1"/>
          <w:sz w:val="24"/>
        </w:rPr>
        <w:t> </w:t>
      </w:r>
      <w:r>
        <w:rPr>
          <w:sz w:val="24"/>
        </w:rPr>
        <w:t>où</w:t>
      </w:r>
      <w:r>
        <w:rPr>
          <w:spacing w:val="-1"/>
          <w:sz w:val="24"/>
        </w:rPr>
        <w:t> </w:t>
      </w:r>
      <w:r>
        <w:rPr>
          <w:sz w:val="24"/>
        </w:rPr>
        <w:t>le matériel publicitaire a été distribué; en particulier, si elles sont parvenues à des consommateurs sur le territoire pertinent, ou si les campagnes de marketing se limitaient</w:t>
      </w:r>
      <w:r>
        <w:rPr>
          <w:spacing w:val="-9"/>
          <w:sz w:val="24"/>
        </w:rPr>
        <w:t> </w:t>
      </w:r>
      <w:r>
        <w:rPr>
          <w:sz w:val="24"/>
        </w:rPr>
        <w:t>à</w:t>
      </w:r>
      <w:r>
        <w:rPr>
          <w:spacing w:val="-11"/>
          <w:sz w:val="24"/>
        </w:rPr>
        <w:t> </w:t>
      </w:r>
      <w:r>
        <w:rPr>
          <w:sz w:val="24"/>
        </w:rPr>
        <w:t>d’autres</w:t>
      </w:r>
      <w:r>
        <w:rPr>
          <w:spacing w:val="-9"/>
          <w:sz w:val="24"/>
        </w:rPr>
        <w:t> </w:t>
      </w:r>
      <w:r>
        <w:rPr>
          <w:sz w:val="24"/>
        </w:rPr>
        <w:t>zones</w:t>
      </w:r>
      <w:r>
        <w:rPr>
          <w:spacing w:val="-9"/>
          <w:sz w:val="24"/>
        </w:rPr>
        <w:t> </w:t>
      </w:r>
      <w:r>
        <w:rPr>
          <w:sz w:val="24"/>
        </w:rPr>
        <w:t>géographiques</w:t>
      </w:r>
      <w:r>
        <w:rPr>
          <w:spacing w:val="-9"/>
          <w:sz w:val="24"/>
        </w:rPr>
        <w:t> </w:t>
      </w:r>
      <w:r>
        <w:rPr>
          <w:sz w:val="24"/>
        </w:rPr>
        <w:t>du</w:t>
      </w:r>
      <w:r>
        <w:rPr>
          <w:spacing w:val="-10"/>
          <w:sz w:val="24"/>
        </w:rPr>
        <w:t> </w:t>
      </w:r>
      <w:r>
        <w:rPr>
          <w:sz w:val="24"/>
        </w:rPr>
        <w:t>monde.</w:t>
      </w:r>
      <w:r>
        <w:rPr>
          <w:spacing w:val="-10"/>
          <w:sz w:val="24"/>
        </w:rPr>
        <w:t> </w:t>
      </w:r>
      <w:r>
        <w:rPr>
          <w:sz w:val="24"/>
        </w:rPr>
        <w:t>En</w:t>
      </w:r>
      <w:r>
        <w:rPr>
          <w:spacing w:val="-10"/>
          <w:sz w:val="24"/>
        </w:rPr>
        <w:t> </w:t>
      </w:r>
      <w:r>
        <w:rPr>
          <w:sz w:val="24"/>
        </w:rPr>
        <w:t>particulier,</w:t>
      </w:r>
      <w:r>
        <w:rPr>
          <w:spacing w:val="-8"/>
          <w:sz w:val="24"/>
        </w:rPr>
        <w:t> </w:t>
      </w:r>
      <w:r>
        <w:rPr>
          <w:sz w:val="24"/>
        </w:rPr>
        <w:t>la</w:t>
      </w:r>
      <w:r>
        <w:rPr>
          <w:spacing w:val="-10"/>
          <w:sz w:val="24"/>
        </w:rPr>
        <w:t> </w:t>
      </w:r>
      <w:r>
        <w:rPr>
          <w:sz w:val="24"/>
        </w:rPr>
        <w:t>brochure</w:t>
      </w:r>
      <w:r>
        <w:rPr>
          <w:spacing w:val="-11"/>
          <w:sz w:val="24"/>
        </w:rPr>
        <w:t> </w:t>
      </w:r>
      <w:r>
        <w:rPr>
          <w:sz w:val="24"/>
        </w:rPr>
        <w:t>jointe en annexe aux observations de l’opposante est rédigée en anglais. Si les annotations sur les photographies incluses dans ce mémoire sont bien rédigées en français, elles sont toutes de même style, ce qui signifie qu’elles ont été ajoutées a posteriori, après les campagnes de marketing respectives. Par conséquent, ils ne peuvent servir de preuve de la distribution du matériel promotionnel en France.</w:t>
      </w:r>
    </w:p>
    <w:p>
      <w:pPr>
        <w:pStyle w:val="ListParagraph"/>
        <w:numPr>
          <w:ilvl w:val="0"/>
          <w:numId w:val="2"/>
        </w:numPr>
        <w:tabs>
          <w:tab w:pos="1015" w:val="left" w:leader="none"/>
          <w:tab w:pos="1017" w:val="left" w:leader="none"/>
        </w:tabs>
        <w:spacing w:line="240" w:lineRule="auto" w:before="239" w:after="0"/>
        <w:ind w:left="1017" w:right="161" w:hanging="428"/>
        <w:jc w:val="both"/>
        <w:rPr>
          <w:sz w:val="24"/>
        </w:rPr>
      </w:pPr>
      <w:r>
        <w:rPr>
          <w:sz w:val="24"/>
        </w:rPr>
        <w:t>En outre, la plupart des éléments de preuve datent des décennies précédentes. Rien n’indique</w:t>
      </w:r>
      <w:r>
        <w:rPr>
          <w:spacing w:val="-6"/>
          <w:sz w:val="24"/>
        </w:rPr>
        <w:t> </w:t>
      </w:r>
      <w:r>
        <w:rPr>
          <w:sz w:val="24"/>
        </w:rPr>
        <w:t>si</w:t>
      </w:r>
      <w:r>
        <w:rPr>
          <w:spacing w:val="-4"/>
          <w:sz w:val="24"/>
        </w:rPr>
        <w:t> </w:t>
      </w:r>
      <w:r>
        <w:rPr>
          <w:sz w:val="24"/>
        </w:rPr>
        <w:t>les</w:t>
      </w:r>
      <w:r>
        <w:rPr>
          <w:spacing w:val="-5"/>
          <w:sz w:val="24"/>
        </w:rPr>
        <w:t> </w:t>
      </w:r>
      <w:r>
        <w:rPr>
          <w:sz w:val="24"/>
        </w:rPr>
        <w:t>marques</w:t>
      </w:r>
      <w:r>
        <w:rPr>
          <w:spacing w:val="-2"/>
          <w:sz w:val="24"/>
        </w:rPr>
        <w:t> </w:t>
      </w:r>
      <w:r>
        <w:rPr>
          <w:sz w:val="24"/>
        </w:rPr>
        <w:t>antérieures</w:t>
      </w:r>
      <w:r>
        <w:rPr>
          <w:spacing w:val="-5"/>
          <w:sz w:val="24"/>
        </w:rPr>
        <w:t> </w:t>
      </w:r>
      <w:r>
        <w:rPr>
          <w:sz w:val="24"/>
        </w:rPr>
        <w:t>étaient</w:t>
      </w:r>
      <w:r>
        <w:rPr>
          <w:spacing w:val="-5"/>
          <w:sz w:val="24"/>
        </w:rPr>
        <w:t> </w:t>
      </w:r>
      <w:r>
        <w:rPr>
          <w:sz w:val="24"/>
        </w:rPr>
        <w:t>encore</w:t>
      </w:r>
      <w:r>
        <w:rPr>
          <w:spacing w:val="-4"/>
          <w:sz w:val="24"/>
        </w:rPr>
        <w:t> </w:t>
      </w:r>
      <w:r>
        <w:rPr>
          <w:sz w:val="24"/>
        </w:rPr>
        <w:t>utilisées</w:t>
      </w:r>
      <w:r>
        <w:rPr>
          <w:spacing w:val="-5"/>
          <w:sz w:val="24"/>
        </w:rPr>
        <w:t> </w:t>
      </w:r>
      <w:r>
        <w:rPr>
          <w:sz w:val="24"/>
        </w:rPr>
        <w:t>et</w:t>
      </w:r>
      <w:r>
        <w:rPr>
          <w:spacing w:val="-4"/>
          <w:sz w:val="24"/>
        </w:rPr>
        <w:t> </w:t>
      </w:r>
      <w:r>
        <w:rPr>
          <w:sz w:val="24"/>
        </w:rPr>
        <w:t>promues</w:t>
      </w:r>
      <w:r>
        <w:rPr>
          <w:spacing w:val="-5"/>
          <w:sz w:val="24"/>
        </w:rPr>
        <w:t> </w:t>
      </w:r>
      <w:r>
        <w:rPr>
          <w:sz w:val="24"/>
        </w:rPr>
        <w:t>à</w:t>
      </w:r>
      <w:r>
        <w:rPr>
          <w:spacing w:val="-4"/>
          <w:sz w:val="24"/>
        </w:rPr>
        <w:t> </w:t>
      </w:r>
      <w:r>
        <w:rPr>
          <w:sz w:val="24"/>
        </w:rPr>
        <w:t>la</w:t>
      </w:r>
      <w:r>
        <w:rPr>
          <w:spacing w:val="-2"/>
          <w:sz w:val="24"/>
        </w:rPr>
        <w:t> </w:t>
      </w:r>
      <w:r>
        <w:rPr>
          <w:sz w:val="24"/>
        </w:rPr>
        <w:t>date</w:t>
      </w:r>
      <w:r>
        <w:rPr>
          <w:spacing w:val="-5"/>
          <w:sz w:val="24"/>
        </w:rPr>
        <w:t> </w:t>
      </w:r>
      <w:r>
        <w:rPr>
          <w:sz w:val="24"/>
        </w:rPr>
        <w:t>de</w:t>
      </w:r>
      <w:r>
        <w:rPr>
          <w:spacing w:val="-4"/>
          <w:sz w:val="24"/>
        </w:rPr>
        <w:t> </w:t>
      </w:r>
      <w:r>
        <w:rPr>
          <w:sz w:val="24"/>
        </w:rPr>
        <w:t>la demande</w:t>
      </w:r>
      <w:r>
        <w:rPr>
          <w:spacing w:val="-12"/>
          <w:sz w:val="24"/>
        </w:rPr>
        <w:t> </w:t>
      </w:r>
      <w:r>
        <w:rPr>
          <w:sz w:val="24"/>
        </w:rPr>
        <w:t>du</w:t>
      </w:r>
      <w:r>
        <w:rPr>
          <w:spacing w:val="-11"/>
          <w:sz w:val="24"/>
        </w:rPr>
        <w:t> </w:t>
      </w:r>
      <w:r>
        <w:rPr>
          <w:sz w:val="24"/>
        </w:rPr>
        <w:t>signe</w:t>
      </w:r>
      <w:r>
        <w:rPr>
          <w:spacing w:val="-12"/>
          <w:sz w:val="24"/>
        </w:rPr>
        <w:t> </w:t>
      </w:r>
      <w:r>
        <w:rPr>
          <w:sz w:val="24"/>
        </w:rPr>
        <w:t>contesté.</w:t>
      </w:r>
      <w:r>
        <w:rPr>
          <w:spacing w:val="-9"/>
          <w:sz w:val="24"/>
        </w:rPr>
        <w:t> </w:t>
      </w:r>
      <w:r>
        <w:rPr>
          <w:sz w:val="24"/>
        </w:rPr>
        <w:t>L’opposante</w:t>
      </w:r>
      <w:r>
        <w:rPr>
          <w:spacing w:val="-11"/>
          <w:sz w:val="24"/>
        </w:rPr>
        <w:t> </w:t>
      </w:r>
      <w:r>
        <w:rPr>
          <w:sz w:val="24"/>
        </w:rPr>
        <w:t>n’a</w:t>
      </w:r>
      <w:r>
        <w:rPr>
          <w:spacing w:val="-12"/>
          <w:sz w:val="24"/>
        </w:rPr>
        <w:t> </w:t>
      </w:r>
      <w:r>
        <w:rPr>
          <w:sz w:val="24"/>
        </w:rPr>
        <w:t>fourni</w:t>
      </w:r>
      <w:r>
        <w:rPr>
          <w:spacing w:val="-9"/>
          <w:sz w:val="24"/>
        </w:rPr>
        <w:t> </w:t>
      </w:r>
      <w:r>
        <w:rPr>
          <w:sz w:val="24"/>
        </w:rPr>
        <w:t>aucune</w:t>
      </w:r>
      <w:r>
        <w:rPr>
          <w:spacing w:val="-12"/>
          <w:sz w:val="24"/>
        </w:rPr>
        <w:t> </w:t>
      </w:r>
      <w:r>
        <w:rPr>
          <w:sz w:val="24"/>
        </w:rPr>
        <w:t>information</w:t>
      </w:r>
      <w:r>
        <w:rPr>
          <w:spacing w:val="-10"/>
          <w:sz w:val="24"/>
        </w:rPr>
        <w:t> </w:t>
      </w:r>
      <w:r>
        <w:rPr>
          <w:sz w:val="24"/>
        </w:rPr>
        <w:t>quant</w:t>
      </w:r>
      <w:r>
        <w:rPr>
          <w:spacing w:val="-10"/>
          <w:sz w:val="24"/>
        </w:rPr>
        <w:t> </w:t>
      </w:r>
      <w:r>
        <w:rPr>
          <w:sz w:val="24"/>
        </w:rPr>
        <w:t>à</w:t>
      </w:r>
      <w:r>
        <w:rPr>
          <w:spacing w:val="-12"/>
          <w:sz w:val="24"/>
        </w:rPr>
        <w:t> </w:t>
      </w:r>
      <w:r>
        <w:rPr>
          <w:sz w:val="24"/>
        </w:rPr>
        <w:t>la</w:t>
      </w:r>
      <w:r>
        <w:rPr>
          <w:spacing w:val="-11"/>
          <w:sz w:val="24"/>
        </w:rPr>
        <w:t> </w:t>
      </w:r>
      <w:r>
        <w:rPr>
          <w:sz w:val="24"/>
        </w:rPr>
        <w:t>part de marché détenue par les marques antérieures. En fait, aucun élément de preuve n’a été produit pour démontrer que des parfums utilisant ces marques ont été achetés, et encore moins en quantités suffisantes pour justifier l’attribution d’un caractère distinctif accru aux marques antérieures.</w:t>
      </w:r>
    </w:p>
    <w:p>
      <w:pPr>
        <w:pStyle w:val="ListParagraph"/>
        <w:numPr>
          <w:ilvl w:val="0"/>
          <w:numId w:val="2"/>
        </w:numPr>
        <w:tabs>
          <w:tab w:pos="1015" w:val="left" w:leader="none"/>
          <w:tab w:pos="1017" w:val="left" w:leader="none"/>
        </w:tabs>
        <w:spacing w:line="240" w:lineRule="auto" w:before="240" w:after="0"/>
        <w:ind w:left="1017" w:right="159" w:hanging="428"/>
        <w:jc w:val="both"/>
        <w:rPr>
          <w:sz w:val="24"/>
        </w:rPr>
      </w:pPr>
      <w:r>
        <w:rPr>
          <w:sz w:val="24"/>
        </w:rPr>
        <w:t>Par</w:t>
      </w:r>
      <w:r>
        <w:rPr>
          <w:spacing w:val="-8"/>
          <w:sz w:val="24"/>
        </w:rPr>
        <w:t> </w:t>
      </w:r>
      <w:r>
        <w:rPr>
          <w:sz w:val="24"/>
        </w:rPr>
        <w:t>conséquent,</w:t>
      </w:r>
      <w:r>
        <w:rPr>
          <w:spacing w:val="-7"/>
          <w:sz w:val="24"/>
        </w:rPr>
        <w:t> </w:t>
      </w:r>
      <w:r>
        <w:rPr>
          <w:sz w:val="24"/>
        </w:rPr>
        <w:t>la</w:t>
      </w:r>
      <w:r>
        <w:rPr>
          <w:spacing w:val="-8"/>
          <w:sz w:val="24"/>
        </w:rPr>
        <w:t> </w:t>
      </w:r>
      <w:r>
        <w:rPr>
          <w:sz w:val="24"/>
        </w:rPr>
        <w:t>division</w:t>
      </w:r>
      <w:r>
        <w:rPr>
          <w:spacing w:val="-7"/>
          <w:sz w:val="24"/>
        </w:rPr>
        <w:t> </w:t>
      </w:r>
      <w:r>
        <w:rPr>
          <w:sz w:val="24"/>
        </w:rPr>
        <w:t>d’opposition</w:t>
      </w:r>
      <w:r>
        <w:rPr>
          <w:spacing w:val="-7"/>
          <w:sz w:val="24"/>
        </w:rPr>
        <w:t> </w:t>
      </w:r>
      <w:r>
        <w:rPr>
          <w:sz w:val="24"/>
        </w:rPr>
        <w:t>ne</w:t>
      </w:r>
      <w:r>
        <w:rPr>
          <w:spacing w:val="-8"/>
          <w:sz w:val="24"/>
        </w:rPr>
        <w:t> </w:t>
      </w:r>
      <w:r>
        <w:rPr>
          <w:sz w:val="24"/>
        </w:rPr>
        <w:t>peut</w:t>
      </w:r>
      <w:r>
        <w:rPr>
          <w:spacing w:val="-7"/>
          <w:sz w:val="24"/>
        </w:rPr>
        <w:t> </w:t>
      </w:r>
      <w:r>
        <w:rPr>
          <w:sz w:val="24"/>
        </w:rPr>
        <w:t>tirer</w:t>
      </w:r>
      <w:r>
        <w:rPr>
          <w:spacing w:val="-8"/>
          <w:sz w:val="24"/>
        </w:rPr>
        <w:t> </w:t>
      </w:r>
      <w:r>
        <w:rPr>
          <w:sz w:val="24"/>
        </w:rPr>
        <w:t>de</w:t>
      </w:r>
      <w:r>
        <w:rPr>
          <w:spacing w:val="-6"/>
          <w:sz w:val="24"/>
        </w:rPr>
        <w:t> </w:t>
      </w:r>
      <w:r>
        <w:rPr>
          <w:sz w:val="24"/>
        </w:rPr>
        <w:t>conclusions</w:t>
      </w:r>
      <w:r>
        <w:rPr>
          <w:spacing w:val="-7"/>
          <w:sz w:val="24"/>
        </w:rPr>
        <w:t> </w:t>
      </w:r>
      <w:r>
        <w:rPr>
          <w:sz w:val="24"/>
        </w:rPr>
        <w:t>quant</w:t>
      </w:r>
      <w:r>
        <w:rPr>
          <w:spacing w:val="-7"/>
          <w:sz w:val="24"/>
        </w:rPr>
        <w:t> </w:t>
      </w:r>
      <w:r>
        <w:rPr>
          <w:sz w:val="24"/>
        </w:rPr>
        <w:t>au</w:t>
      </w:r>
      <w:r>
        <w:rPr>
          <w:spacing w:val="-7"/>
          <w:sz w:val="24"/>
        </w:rPr>
        <w:t> </w:t>
      </w:r>
      <w:r>
        <w:rPr>
          <w:sz w:val="24"/>
        </w:rPr>
        <w:t>nombre de consommateurs effectivement exposés aux marques antérieures, à la question de savoir si le matériel publicitaire a été présenté aux consommateurs du territoire pertinent et dans quelle mesure les consommateurs du territoire pertinent reconnaissent les marques antérieures et les associent aux produits pertinents.</w:t>
      </w:r>
    </w:p>
    <w:p>
      <w:pPr>
        <w:pStyle w:val="ListParagraph"/>
        <w:numPr>
          <w:ilvl w:val="0"/>
          <w:numId w:val="2"/>
        </w:numPr>
        <w:tabs>
          <w:tab w:pos="1015" w:val="left" w:leader="none"/>
          <w:tab w:pos="1017" w:val="left" w:leader="none"/>
        </w:tabs>
        <w:spacing w:line="240" w:lineRule="auto" w:before="238" w:after="0"/>
        <w:ind w:left="1017" w:right="165" w:hanging="428"/>
        <w:jc w:val="both"/>
        <w:rPr>
          <w:sz w:val="24"/>
        </w:rPr>
      </w:pPr>
      <w:r>
        <w:rPr>
          <w:sz w:val="24"/>
        </w:rPr>
        <w:t>La</w:t>
      </w:r>
      <w:r>
        <w:rPr>
          <w:spacing w:val="-7"/>
          <w:sz w:val="24"/>
        </w:rPr>
        <w:t> </w:t>
      </w:r>
      <w:r>
        <w:rPr>
          <w:sz w:val="24"/>
        </w:rPr>
        <w:t>photographie</w:t>
      </w:r>
      <w:r>
        <w:rPr>
          <w:spacing w:val="-7"/>
          <w:sz w:val="24"/>
        </w:rPr>
        <w:t> </w:t>
      </w:r>
      <w:r>
        <w:rPr>
          <w:sz w:val="24"/>
        </w:rPr>
        <w:t>de</w:t>
      </w:r>
      <w:r>
        <w:rPr>
          <w:spacing w:val="-9"/>
          <w:sz w:val="24"/>
        </w:rPr>
        <w:t> </w:t>
      </w:r>
      <w:r>
        <w:rPr>
          <w:sz w:val="24"/>
        </w:rPr>
        <w:t>la</w:t>
      </w:r>
      <w:r>
        <w:rPr>
          <w:spacing w:val="-7"/>
          <w:sz w:val="24"/>
        </w:rPr>
        <w:t> </w:t>
      </w:r>
      <w:r>
        <w:rPr>
          <w:sz w:val="24"/>
        </w:rPr>
        <w:t>boutique</w:t>
      </w:r>
      <w:r>
        <w:rPr>
          <w:spacing w:val="-9"/>
          <w:sz w:val="24"/>
        </w:rPr>
        <w:t> </w:t>
      </w:r>
      <w:r>
        <w:rPr>
          <w:sz w:val="24"/>
        </w:rPr>
        <w:t>physique</w:t>
      </w:r>
      <w:r>
        <w:rPr>
          <w:spacing w:val="-6"/>
          <w:sz w:val="24"/>
        </w:rPr>
        <w:t> </w:t>
      </w:r>
      <w:r>
        <w:rPr>
          <w:sz w:val="24"/>
        </w:rPr>
        <w:t>ne</w:t>
      </w:r>
      <w:r>
        <w:rPr>
          <w:spacing w:val="-9"/>
          <w:sz w:val="24"/>
        </w:rPr>
        <w:t> </w:t>
      </w:r>
      <w:r>
        <w:rPr>
          <w:sz w:val="24"/>
        </w:rPr>
        <w:t>permet</w:t>
      </w:r>
      <w:r>
        <w:rPr>
          <w:spacing w:val="-8"/>
          <w:sz w:val="24"/>
        </w:rPr>
        <w:t> </w:t>
      </w:r>
      <w:r>
        <w:rPr>
          <w:sz w:val="24"/>
        </w:rPr>
        <w:t>pas</w:t>
      </w:r>
      <w:r>
        <w:rPr>
          <w:spacing w:val="-8"/>
          <w:sz w:val="24"/>
        </w:rPr>
        <w:t> </w:t>
      </w:r>
      <w:r>
        <w:rPr>
          <w:sz w:val="24"/>
        </w:rPr>
        <w:t>de</w:t>
      </w:r>
      <w:r>
        <w:rPr>
          <w:spacing w:val="-7"/>
          <w:sz w:val="24"/>
        </w:rPr>
        <w:t> </w:t>
      </w:r>
      <w:r>
        <w:rPr>
          <w:sz w:val="24"/>
        </w:rPr>
        <w:t>tirer</w:t>
      </w:r>
      <w:r>
        <w:rPr>
          <w:spacing w:val="-9"/>
          <w:sz w:val="24"/>
        </w:rPr>
        <w:t> </w:t>
      </w:r>
      <w:r>
        <w:rPr>
          <w:sz w:val="24"/>
        </w:rPr>
        <w:t>des</w:t>
      </w:r>
      <w:r>
        <w:rPr>
          <w:spacing w:val="-8"/>
          <w:sz w:val="24"/>
        </w:rPr>
        <w:t> </w:t>
      </w:r>
      <w:r>
        <w:rPr>
          <w:sz w:val="24"/>
        </w:rPr>
        <w:t>conclusions</w:t>
      </w:r>
      <w:r>
        <w:rPr>
          <w:spacing w:val="-8"/>
          <w:sz w:val="24"/>
        </w:rPr>
        <w:t> </w:t>
      </w:r>
      <w:r>
        <w:rPr>
          <w:sz w:val="24"/>
        </w:rPr>
        <w:t>quant à son emplacement et ne montre aucun des produits pertinents.</w:t>
      </w:r>
    </w:p>
    <w:p>
      <w:pPr>
        <w:pStyle w:val="BodyText"/>
        <w:spacing w:before="204"/>
        <w:rPr>
          <w:sz w:val="18"/>
        </w:rPr>
      </w:pPr>
    </w:p>
    <w:p>
      <w:pPr>
        <w:spacing w:before="0"/>
        <w:ind w:left="2737" w:right="2738" w:firstLine="0"/>
        <w:jc w:val="center"/>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p>
      <w:pPr>
        <w:spacing w:after="0"/>
        <w:jc w:val="center"/>
        <w:rPr>
          <w:sz w:val="18"/>
        </w:rPr>
        <w:sectPr>
          <w:pgSz w:w="11910" w:h="16840"/>
          <w:pgMar w:header="970" w:footer="0" w:top="1180" w:bottom="280" w:left="1275" w:right="1275"/>
        </w:sectPr>
      </w:pPr>
    </w:p>
    <w:p>
      <w:pPr>
        <w:pStyle w:val="ListParagraph"/>
        <w:numPr>
          <w:ilvl w:val="0"/>
          <w:numId w:val="2"/>
        </w:numPr>
        <w:tabs>
          <w:tab w:pos="1015" w:val="left" w:leader="none"/>
          <w:tab w:pos="1017" w:val="left" w:leader="none"/>
        </w:tabs>
        <w:spacing w:line="240" w:lineRule="auto" w:before="249" w:after="0"/>
        <w:ind w:left="1017" w:right="165" w:hanging="428"/>
        <w:jc w:val="both"/>
        <w:rPr>
          <w:sz w:val="24"/>
        </w:rPr>
      </w:pPr>
      <w:r>
        <w:rPr>
          <w:sz w:val="24"/>
        </w:rPr>
        <mc:AlternateContent>
          <mc:Choice Requires="wps">
            <w:drawing>
              <wp:anchor distT="0" distB="0" distL="0" distR="0" allowOverlap="1" layoutInCell="1" locked="0" behindDoc="0" simplePos="0" relativeHeight="15733760">
                <wp:simplePos x="0" y="0"/>
                <wp:positionH relativeFrom="page">
                  <wp:posOffset>270575</wp:posOffset>
                </wp:positionH>
                <wp:positionV relativeFrom="page">
                  <wp:posOffset>1114363</wp:posOffset>
                </wp:positionV>
                <wp:extent cx="146050" cy="921004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46050" cy="9210040"/>
                        </a:xfrm>
                        <a:prstGeom prst="rect">
                          <a:avLst/>
                        </a:prstGeom>
                      </wps:spPr>
                      <wps:txbx>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wps:txbx>
                      <wps:bodyPr wrap="square" lIns="0" tIns="0" rIns="0" bIns="0" rtlCol="0" vert="vert270">
                        <a:noAutofit/>
                      </wps:bodyPr>
                    </wps:wsp>
                  </a:graphicData>
                </a:graphic>
              </wp:anchor>
            </w:drawing>
          </mc:Choice>
          <mc:Fallback>
            <w:pict>
              <v:shape style="position:absolute;margin-left:21.305176pt;margin-top:87.745193pt;width:11.5pt;height:725.2pt;mso-position-horizontal-relative:page;mso-position-vertical-relative:page;z-index:15733760" type="#_x0000_t202" id="docshape10" filled="false" stroked="false">
                <v:textbox inset="0,0,0,0" style="layout-flow:vertical;mso-layout-flow-alt:bottom-to-top">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v:textbox>
                <w10:wrap type="none"/>
              </v:shape>
            </w:pict>
          </mc:Fallback>
        </mc:AlternateContent>
      </w:r>
      <w:r>
        <w:rPr>
          <w:sz w:val="24"/>
        </w:rPr>
        <w:t>Enfin, les observations de l’opposante font référence à d’autres efforts de marketing, tels que des films,-pour lesquels l’opposante n’a fourni aucune preuve.</w:t>
      </w:r>
    </w:p>
    <w:p>
      <w:pPr>
        <w:pStyle w:val="ListParagraph"/>
        <w:numPr>
          <w:ilvl w:val="0"/>
          <w:numId w:val="2"/>
        </w:numPr>
        <w:tabs>
          <w:tab w:pos="1015" w:val="left" w:leader="none"/>
          <w:tab w:pos="1017" w:val="left" w:leader="none"/>
        </w:tabs>
        <w:spacing w:line="240" w:lineRule="auto" w:before="238" w:after="0"/>
        <w:ind w:left="1017" w:right="162" w:hanging="428"/>
        <w:jc w:val="both"/>
        <w:rPr>
          <w:sz w:val="24"/>
        </w:rPr>
      </w:pPr>
      <w:r>
        <w:rPr>
          <w:sz w:val="24"/>
        </w:rPr>
        <w:t>La renommée ou le caractère distinctif accru d’une marque ne saurait être considéré comme</w:t>
      </w:r>
      <w:r>
        <w:rPr>
          <w:spacing w:val="-7"/>
          <w:sz w:val="24"/>
        </w:rPr>
        <w:t> </w:t>
      </w:r>
      <w:r>
        <w:rPr>
          <w:sz w:val="24"/>
        </w:rPr>
        <w:t>un</w:t>
      </w:r>
      <w:r>
        <w:rPr>
          <w:spacing w:val="-6"/>
          <w:sz w:val="24"/>
        </w:rPr>
        <w:t> </w:t>
      </w:r>
      <w:r>
        <w:rPr>
          <w:sz w:val="24"/>
        </w:rPr>
        <w:t>fait-notoire.</w:t>
      </w:r>
      <w:r>
        <w:rPr>
          <w:spacing w:val="-3"/>
          <w:sz w:val="24"/>
        </w:rPr>
        <w:t> </w:t>
      </w:r>
      <w:r>
        <w:rPr>
          <w:sz w:val="24"/>
        </w:rPr>
        <w:t>En</w:t>
      </w:r>
      <w:r>
        <w:rPr>
          <w:spacing w:val="-6"/>
          <w:sz w:val="24"/>
        </w:rPr>
        <w:t> </w:t>
      </w:r>
      <w:r>
        <w:rPr>
          <w:sz w:val="24"/>
        </w:rPr>
        <w:t>d’autres</w:t>
      </w:r>
      <w:r>
        <w:rPr>
          <w:spacing w:val="-5"/>
          <w:sz w:val="24"/>
        </w:rPr>
        <w:t> </w:t>
      </w:r>
      <w:r>
        <w:rPr>
          <w:sz w:val="24"/>
        </w:rPr>
        <w:t>termes,</w:t>
      </w:r>
      <w:r>
        <w:rPr>
          <w:spacing w:val="-6"/>
          <w:sz w:val="24"/>
        </w:rPr>
        <w:t> </w:t>
      </w:r>
      <w:r>
        <w:rPr>
          <w:sz w:val="24"/>
        </w:rPr>
        <w:t>la</w:t>
      </w:r>
      <w:r>
        <w:rPr>
          <w:spacing w:val="-4"/>
          <w:sz w:val="24"/>
        </w:rPr>
        <w:t> </w:t>
      </w:r>
      <w:r>
        <w:rPr>
          <w:sz w:val="24"/>
        </w:rPr>
        <w:t>division</w:t>
      </w:r>
      <w:r>
        <w:rPr>
          <w:spacing w:val="-5"/>
          <w:sz w:val="24"/>
        </w:rPr>
        <w:t> </w:t>
      </w:r>
      <w:r>
        <w:rPr>
          <w:sz w:val="24"/>
        </w:rPr>
        <w:t>d’opposition</w:t>
      </w:r>
      <w:r>
        <w:rPr>
          <w:spacing w:val="-5"/>
          <w:sz w:val="24"/>
        </w:rPr>
        <w:t> </w:t>
      </w:r>
      <w:r>
        <w:rPr>
          <w:sz w:val="24"/>
        </w:rPr>
        <w:t>doit</w:t>
      </w:r>
      <w:r>
        <w:rPr>
          <w:spacing w:val="-5"/>
          <w:sz w:val="24"/>
        </w:rPr>
        <w:t> </w:t>
      </w:r>
      <w:r>
        <w:rPr>
          <w:sz w:val="24"/>
        </w:rPr>
        <w:t>ignorer</w:t>
      </w:r>
      <w:r>
        <w:rPr>
          <w:spacing w:val="-7"/>
          <w:sz w:val="24"/>
        </w:rPr>
        <w:t> </w:t>
      </w:r>
      <w:r>
        <w:rPr>
          <w:sz w:val="24"/>
        </w:rPr>
        <w:t>toute connaissance privée qu’elle pourrait avoir du caractère distinctif accru des marques antérieures</w:t>
      </w:r>
      <w:r>
        <w:rPr>
          <w:spacing w:val="-8"/>
          <w:sz w:val="24"/>
        </w:rPr>
        <w:t> </w:t>
      </w:r>
      <w:r>
        <w:rPr>
          <w:sz w:val="24"/>
        </w:rPr>
        <w:t>et</w:t>
      </w:r>
      <w:r>
        <w:rPr>
          <w:spacing w:val="-8"/>
          <w:sz w:val="24"/>
        </w:rPr>
        <w:t> </w:t>
      </w:r>
      <w:r>
        <w:rPr>
          <w:sz w:val="24"/>
        </w:rPr>
        <w:t>limiter</w:t>
      </w:r>
      <w:r>
        <w:rPr>
          <w:spacing w:val="-9"/>
          <w:sz w:val="24"/>
        </w:rPr>
        <w:t> </w:t>
      </w:r>
      <w:r>
        <w:rPr>
          <w:sz w:val="24"/>
        </w:rPr>
        <w:t>son</w:t>
      </w:r>
      <w:r>
        <w:rPr>
          <w:spacing w:val="-6"/>
          <w:sz w:val="24"/>
        </w:rPr>
        <w:t> </w:t>
      </w:r>
      <w:r>
        <w:rPr>
          <w:sz w:val="24"/>
        </w:rPr>
        <w:t>appréciation</w:t>
      </w:r>
      <w:r>
        <w:rPr>
          <w:spacing w:val="-8"/>
          <w:sz w:val="24"/>
        </w:rPr>
        <w:t> </w:t>
      </w:r>
      <w:r>
        <w:rPr>
          <w:sz w:val="24"/>
        </w:rPr>
        <w:t>aux</w:t>
      </w:r>
      <w:r>
        <w:rPr>
          <w:spacing w:val="-6"/>
          <w:sz w:val="24"/>
        </w:rPr>
        <w:t> </w:t>
      </w:r>
      <w:r>
        <w:rPr>
          <w:sz w:val="24"/>
        </w:rPr>
        <w:t>seuls</w:t>
      </w:r>
      <w:r>
        <w:rPr>
          <w:spacing w:val="-8"/>
          <w:sz w:val="24"/>
        </w:rPr>
        <w:t> </w:t>
      </w:r>
      <w:r>
        <w:rPr>
          <w:sz w:val="24"/>
        </w:rPr>
        <w:t>éléments</w:t>
      </w:r>
      <w:r>
        <w:rPr>
          <w:spacing w:val="-8"/>
          <w:sz w:val="24"/>
        </w:rPr>
        <w:t> </w:t>
      </w:r>
      <w:r>
        <w:rPr>
          <w:sz w:val="24"/>
        </w:rPr>
        <w:t>de</w:t>
      </w:r>
      <w:r>
        <w:rPr>
          <w:spacing w:val="-9"/>
          <w:sz w:val="24"/>
        </w:rPr>
        <w:t> </w:t>
      </w:r>
      <w:r>
        <w:rPr>
          <w:sz w:val="24"/>
        </w:rPr>
        <w:t>preuve</w:t>
      </w:r>
      <w:r>
        <w:rPr>
          <w:spacing w:val="-9"/>
          <w:sz w:val="24"/>
        </w:rPr>
        <w:t> </w:t>
      </w:r>
      <w:r>
        <w:rPr>
          <w:sz w:val="24"/>
        </w:rPr>
        <w:t>versés</w:t>
      </w:r>
      <w:r>
        <w:rPr>
          <w:spacing w:val="-6"/>
          <w:sz w:val="24"/>
        </w:rPr>
        <w:t> </w:t>
      </w:r>
      <w:r>
        <w:rPr>
          <w:sz w:val="24"/>
        </w:rPr>
        <w:t>au</w:t>
      </w:r>
      <w:r>
        <w:rPr>
          <w:spacing w:val="-8"/>
          <w:sz w:val="24"/>
        </w:rPr>
        <w:t> </w:t>
      </w:r>
      <w:r>
        <w:rPr>
          <w:sz w:val="24"/>
        </w:rPr>
        <w:t>dossier. Toutefois, les éléments de preuve versés au dossier ne suffisent pas à prouver un niveau de caractère distinctif supérieur au degré normal de caractère distinctif intrinsèque des marques antérieures.</w:t>
      </w:r>
    </w:p>
    <w:p>
      <w:pPr>
        <w:pStyle w:val="ListParagraph"/>
        <w:numPr>
          <w:ilvl w:val="0"/>
          <w:numId w:val="2"/>
        </w:numPr>
        <w:tabs>
          <w:tab w:pos="1015" w:val="left" w:leader="none"/>
          <w:tab w:pos="1017" w:val="left" w:leader="none"/>
        </w:tabs>
        <w:spacing w:line="240" w:lineRule="auto" w:before="239" w:after="0"/>
        <w:ind w:left="1017" w:right="160" w:hanging="428"/>
        <w:jc w:val="both"/>
        <w:rPr>
          <w:sz w:val="24"/>
        </w:rPr>
      </w:pPr>
      <w:r>
        <w:rPr>
          <w:sz w:val="24"/>
        </w:rPr>
        <w:t>Par</w:t>
      </w:r>
      <w:r>
        <w:rPr>
          <w:spacing w:val="-10"/>
          <w:sz w:val="24"/>
        </w:rPr>
        <w:t> </w:t>
      </w:r>
      <w:r>
        <w:rPr>
          <w:sz w:val="24"/>
        </w:rPr>
        <w:t>conséquent,</w:t>
      </w:r>
      <w:r>
        <w:rPr>
          <w:spacing w:val="-9"/>
          <w:sz w:val="24"/>
        </w:rPr>
        <w:t> </w:t>
      </w:r>
      <w:r>
        <w:rPr>
          <w:sz w:val="24"/>
        </w:rPr>
        <w:t>l’appréciation</w:t>
      </w:r>
      <w:r>
        <w:rPr>
          <w:spacing w:val="-10"/>
          <w:sz w:val="24"/>
        </w:rPr>
        <w:t> </w:t>
      </w:r>
      <w:r>
        <w:rPr>
          <w:sz w:val="24"/>
        </w:rPr>
        <w:t>du</w:t>
      </w:r>
      <w:r>
        <w:rPr>
          <w:spacing w:val="-10"/>
          <w:sz w:val="24"/>
        </w:rPr>
        <w:t> </w:t>
      </w:r>
      <w:r>
        <w:rPr>
          <w:sz w:val="24"/>
        </w:rPr>
        <w:t>caractère</w:t>
      </w:r>
      <w:r>
        <w:rPr>
          <w:spacing w:val="-11"/>
          <w:sz w:val="24"/>
        </w:rPr>
        <w:t> </w:t>
      </w:r>
      <w:r>
        <w:rPr>
          <w:sz w:val="24"/>
        </w:rPr>
        <w:t>distinctif</w:t>
      </w:r>
      <w:r>
        <w:rPr>
          <w:spacing w:val="-10"/>
          <w:sz w:val="24"/>
        </w:rPr>
        <w:t> </w:t>
      </w:r>
      <w:r>
        <w:rPr>
          <w:sz w:val="24"/>
        </w:rPr>
        <w:t>de</w:t>
      </w:r>
      <w:r>
        <w:rPr>
          <w:spacing w:val="-11"/>
          <w:sz w:val="24"/>
        </w:rPr>
        <w:t> </w:t>
      </w:r>
      <w:r>
        <w:rPr>
          <w:sz w:val="24"/>
        </w:rPr>
        <w:t>la</w:t>
      </w:r>
      <w:r>
        <w:rPr>
          <w:spacing w:val="-10"/>
          <w:sz w:val="24"/>
        </w:rPr>
        <w:t> </w:t>
      </w:r>
      <w:r>
        <w:rPr>
          <w:sz w:val="24"/>
        </w:rPr>
        <w:t>marque</w:t>
      </w:r>
      <w:r>
        <w:rPr>
          <w:spacing w:val="-9"/>
          <w:sz w:val="24"/>
        </w:rPr>
        <w:t> </w:t>
      </w:r>
      <w:r>
        <w:rPr>
          <w:sz w:val="24"/>
        </w:rPr>
        <w:t>antérieure</w:t>
      </w:r>
      <w:r>
        <w:rPr>
          <w:spacing w:val="-9"/>
          <w:sz w:val="24"/>
        </w:rPr>
        <w:t> </w:t>
      </w:r>
      <w:r>
        <w:rPr>
          <w:sz w:val="24"/>
        </w:rPr>
        <w:t>reposera sur son caractère distinctif intrinsèque. En l’espèce, les marques antérieures, considérées dans leur ensemble, sont dépourvues de signification pour tous les produits en cause du point de vue du public du territoire pertinent. Dès lors, leur caractère distinctif doit être considéré comme normal;</w:t>
      </w:r>
    </w:p>
    <w:p>
      <w:pPr>
        <w:pStyle w:val="ListParagraph"/>
        <w:numPr>
          <w:ilvl w:val="0"/>
          <w:numId w:val="2"/>
        </w:numPr>
        <w:tabs>
          <w:tab w:pos="1015" w:val="left" w:leader="none"/>
          <w:tab w:pos="1017" w:val="left" w:leader="none"/>
        </w:tabs>
        <w:spacing w:line="240" w:lineRule="auto" w:before="240" w:after="0"/>
        <w:ind w:left="1017" w:right="160" w:hanging="428"/>
        <w:jc w:val="both"/>
        <w:rPr>
          <w:sz w:val="24"/>
        </w:rPr>
      </w:pPr>
      <w:r>
        <w:rPr>
          <w:sz w:val="24"/>
        </w:rPr>
        <w:t>Dans</w:t>
      </w:r>
      <w:r>
        <w:rPr>
          <w:spacing w:val="-15"/>
          <w:sz w:val="24"/>
        </w:rPr>
        <w:t> </w:t>
      </w:r>
      <w:r>
        <w:rPr>
          <w:sz w:val="24"/>
        </w:rPr>
        <w:t>l’ensemble,</w:t>
      </w:r>
      <w:r>
        <w:rPr>
          <w:spacing w:val="-15"/>
          <w:sz w:val="24"/>
        </w:rPr>
        <w:t> </w:t>
      </w:r>
      <w:r>
        <w:rPr>
          <w:sz w:val="24"/>
        </w:rPr>
        <w:t>les</w:t>
      </w:r>
      <w:r>
        <w:rPr>
          <w:spacing w:val="-15"/>
          <w:sz w:val="24"/>
        </w:rPr>
        <w:t> </w:t>
      </w:r>
      <w:r>
        <w:rPr>
          <w:sz w:val="24"/>
        </w:rPr>
        <w:t>différences</w:t>
      </w:r>
      <w:r>
        <w:rPr>
          <w:spacing w:val="-15"/>
          <w:sz w:val="24"/>
        </w:rPr>
        <w:t> </w:t>
      </w:r>
      <w:r>
        <w:rPr>
          <w:sz w:val="24"/>
        </w:rPr>
        <w:t>entre</w:t>
      </w:r>
      <w:r>
        <w:rPr>
          <w:spacing w:val="-15"/>
          <w:sz w:val="24"/>
        </w:rPr>
        <w:t> </w:t>
      </w:r>
      <w:r>
        <w:rPr>
          <w:sz w:val="24"/>
        </w:rPr>
        <w:t>les</w:t>
      </w:r>
      <w:r>
        <w:rPr>
          <w:spacing w:val="-15"/>
          <w:sz w:val="24"/>
        </w:rPr>
        <w:t> </w:t>
      </w:r>
      <w:r>
        <w:rPr>
          <w:sz w:val="24"/>
        </w:rPr>
        <w:t>signes</w:t>
      </w:r>
      <w:r>
        <w:rPr>
          <w:spacing w:val="-15"/>
          <w:sz w:val="24"/>
        </w:rPr>
        <w:t> </w:t>
      </w:r>
      <w:r>
        <w:rPr>
          <w:sz w:val="24"/>
        </w:rPr>
        <w:t>sont</w:t>
      </w:r>
      <w:r>
        <w:rPr>
          <w:spacing w:val="-15"/>
          <w:sz w:val="24"/>
        </w:rPr>
        <w:t> </w:t>
      </w:r>
      <w:r>
        <w:rPr>
          <w:sz w:val="24"/>
        </w:rPr>
        <w:t>frappantes</w:t>
      </w:r>
      <w:r>
        <w:rPr>
          <w:spacing w:val="-15"/>
          <w:sz w:val="24"/>
        </w:rPr>
        <w:t> </w:t>
      </w:r>
      <w:r>
        <w:rPr>
          <w:sz w:val="24"/>
        </w:rPr>
        <w:t>et</w:t>
      </w:r>
      <w:r>
        <w:rPr>
          <w:spacing w:val="-15"/>
          <w:sz w:val="24"/>
        </w:rPr>
        <w:t> </w:t>
      </w:r>
      <w:r>
        <w:rPr>
          <w:sz w:val="24"/>
        </w:rPr>
        <w:t>seront</w:t>
      </w:r>
      <w:r>
        <w:rPr>
          <w:spacing w:val="-15"/>
          <w:sz w:val="24"/>
        </w:rPr>
        <w:t> </w:t>
      </w:r>
      <w:r>
        <w:rPr>
          <w:sz w:val="24"/>
        </w:rPr>
        <w:t>mémorisées. L’effet</w:t>
      </w:r>
      <w:r>
        <w:rPr>
          <w:spacing w:val="-8"/>
          <w:sz w:val="24"/>
        </w:rPr>
        <w:t> </w:t>
      </w:r>
      <w:r>
        <w:rPr>
          <w:sz w:val="24"/>
        </w:rPr>
        <w:t>de</w:t>
      </w:r>
      <w:r>
        <w:rPr>
          <w:spacing w:val="-9"/>
          <w:sz w:val="24"/>
        </w:rPr>
        <w:t> </w:t>
      </w:r>
      <w:r>
        <w:rPr>
          <w:sz w:val="24"/>
        </w:rPr>
        <w:t>cette</w:t>
      </w:r>
      <w:r>
        <w:rPr>
          <w:spacing w:val="-9"/>
          <w:sz w:val="24"/>
        </w:rPr>
        <w:t> </w:t>
      </w:r>
      <w:r>
        <w:rPr>
          <w:sz w:val="24"/>
        </w:rPr>
        <w:t>différence</w:t>
      </w:r>
      <w:r>
        <w:rPr>
          <w:spacing w:val="-9"/>
          <w:sz w:val="24"/>
        </w:rPr>
        <w:t> </w:t>
      </w:r>
      <w:r>
        <w:rPr>
          <w:sz w:val="24"/>
        </w:rPr>
        <w:t>est</w:t>
      </w:r>
      <w:r>
        <w:rPr>
          <w:spacing w:val="-8"/>
          <w:sz w:val="24"/>
        </w:rPr>
        <w:t> </w:t>
      </w:r>
      <w:r>
        <w:rPr>
          <w:sz w:val="24"/>
        </w:rPr>
        <w:t>encore</w:t>
      </w:r>
      <w:r>
        <w:rPr>
          <w:spacing w:val="-10"/>
          <w:sz w:val="24"/>
        </w:rPr>
        <w:t> </w:t>
      </w:r>
      <w:r>
        <w:rPr>
          <w:sz w:val="24"/>
        </w:rPr>
        <w:t>renforcé</w:t>
      </w:r>
      <w:r>
        <w:rPr>
          <w:spacing w:val="-9"/>
          <w:sz w:val="24"/>
        </w:rPr>
        <w:t> </w:t>
      </w:r>
      <w:r>
        <w:rPr>
          <w:sz w:val="24"/>
        </w:rPr>
        <w:t>par</w:t>
      </w:r>
      <w:r>
        <w:rPr>
          <w:spacing w:val="-7"/>
          <w:sz w:val="24"/>
        </w:rPr>
        <w:t> </w:t>
      </w:r>
      <w:r>
        <w:rPr>
          <w:sz w:val="24"/>
        </w:rPr>
        <w:t>le</w:t>
      </w:r>
      <w:r>
        <w:rPr>
          <w:spacing w:val="-9"/>
          <w:sz w:val="24"/>
        </w:rPr>
        <w:t> </w:t>
      </w:r>
      <w:r>
        <w:rPr>
          <w:sz w:val="24"/>
        </w:rPr>
        <w:t>fait</w:t>
      </w:r>
      <w:r>
        <w:rPr>
          <w:spacing w:val="-8"/>
          <w:sz w:val="24"/>
        </w:rPr>
        <w:t> </w:t>
      </w:r>
      <w:r>
        <w:rPr>
          <w:sz w:val="24"/>
        </w:rPr>
        <w:t>que</w:t>
      </w:r>
      <w:r>
        <w:rPr>
          <w:spacing w:val="-9"/>
          <w:sz w:val="24"/>
        </w:rPr>
        <w:t> </w:t>
      </w:r>
      <w:r>
        <w:rPr>
          <w:sz w:val="24"/>
        </w:rPr>
        <w:t>les</w:t>
      </w:r>
      <w:r>
        <w:rPr>
          <w:spacing w:val="-9"/>
          <w:sz w:val="24"/>
        </w:rPr>
        <w:t> </w:t>
      </w:r>
      <w:r>
        <w:rPr>
          <w:sz w:val="24"/>
        </w:rPr>
        <w:t>signes</w:t>
      </w:r>
      <w:r>
        <w:rPr>
          <w:spacing w:val="-8"/>
          <w:sz w:val="24"/>
        </w:rPr>
        <w:t> </w:t>
      </w:r>
      <w:r>
        <w:rPr>
          <w:sz w:val="24"/>
        </w:rPr>
        <w:t>sont</w:t>
      </w:r>
      <w:r>
        <w:rPr>
          <w:spacing w:val="-10"/>
          <w:sz w:val="24"/>
        </w:rPr>
        <w:t> </w:t>
      </w:r>
      <w:r>
        <w:rPr>
          <w:sz w:val="24"/>
        </w:rPr>
        <w:t>courts.</w:t>
      </w:r>
      <w:r>
        <w:rPr>
          <w:spacing w:val="-8"/>
          <w:sz w:val="24"/>
        </w:rPr>
        <w:t> </w:t>
      </w:r>
      <w:r>
        <w:rPr>
          <w:sz w:val="24"/>
        </w:rPr>
        <w:t>De petites différences entre des mots courts produisent fréquemment une impression d’ensemble</w:t>
      </w:r>
      <w:r>
        <w:rPr>
          <w:spacing w:val="-7"/>
          <w:sz w:val="24"/>
        </w:rPr>
        <w:t> </w:t>
      </w:r>
      <w:r>
        <w:rPr>
          <w:sz w:val="24"/>
        </w:rPr>
        <w:t>différente.</w:t>
      </w:r>
      <w:r>
        <w:rPr>
          <w:spacing w:val="-4"/>
          <w:sz w:val="24"/>
        </w:rPr>
        <w:t> </w:t>
      </w:r>
      <w:r>
        <w:rPr>
          <w:sz w:val="24"/>
        </w:rPr>
        <w:t>Le</w:t>
      </w:r>
      <w:r>
        <w:rPr>
          <w:spacing w:val="-7"/>
          <w:sz w:val="24"/>
        </w:rPr>
        <w:t> </w:t>
      </w:r>
      <w:r>
        <w:rPr>
          <w:sz w:val="24"/>
        </w:rPr>
        <w:t>signe</w:t>
      </w:r>
      <w:r>
        <w:rPr>
          <w:spacing w:val="-7"/>
          <w:sz w:val="24"/>
        </w:rPr>
        <w:t> </w:t>
      </w:r>
      <w:r>
        <w:rPr>
          <w:sz w:val="24"/>
        </w:rPr>
        <w:t>contesté</w:t>
      </w:r>
      <w:r>
        <w:rPr>
          <w:spacing w:val="-7"/>
          <w:sz w:val="24"/>
        </w:rPr>
        <w:t> </w:t>
      </w:r>
      <w:r>
        <w:rPr>
          <w:sz w:val="24"/>
        </w:rPr>
        <w:t>est,</w:t>
      </w:r>
      <w:r>
        <w:rPr>
          <w:spacing w:val="-5"/>
          <w:sz w:val="24"/>
        </w:rPr>
        <w:t> </w:t>
      </w:r>
      <w:r>
        <w:rPr>
          <w:sz w:val="24"/>
        </w:rPr>
        <w:t>dans</w:t>
      </w:r>
      <w:r>
        <w:rPr>
          <w:spacing w:val="-5"/>
          <w:sz w:val="24"/>
        </w:rPr>
        <w:t> </w:t>
      </w:r>
      <w:r>
        <w:rPr>
          <w:sz w:val="24"/>
        </w:rPr>
        <w:t>une</w:t>
      </w:r>
      <w:r>
        <w:rPr>
          <w:spacing w:val="-7"/>
          <w:sz w:val="24"/>
        </w:rPr>
        <w:t> </w:t>
      </w:r>
      <w:r>
        <w:rPr>
          <w:sz w:val="24"/>
        </w:rPr>
        <w:t>large</w:t>
      </w:r>
      <w:r>
        <w:rPr>
          <w:spacing w:val="-7"/>
          <w:sz w:val="24"/>
        </w:rPr>
        <w:t> </w:t>
      </w:r>
      <w:r>
        <w:rPr>
          <w:sz w:val="24"/>
        </w:rPr>
        <w:t>mesure,</w:t>
      </w:r>
      <w:r>
        <w:rPr>
          <w:spacing w:val="-6"/>
          <w:sz w:val="24"/>
        </w:rPr>
        <w:t> </w:t>
      </w:r>
      <w:r>
        <w:rPr>
          <w:sz w:val="24"/>
        </w:rPr>
        <w:t>caractérisé</w:t>
      </w:r>
      <w:r>
        <w:rPr>
          <w:spacing w:val="-7"/>
          <w:sz w:val="24"/>
        </w:rPr>
        <w:t> </w:t>
      </w:r>
      <w:r>
        <w:rPr>
          <w:sz w:val="24"/>
        </w:rPr>
        <w:t>par</w:t>
      </w:r>
      <w:r>
        <w:rPr>
          <w:spacing w:val="-7"/>
          <w:sz w:val="24"/>
        </w:rPr>
        <w:t> </w:t>
      </w:r>
      <w:r>
        <w:rPr>
          <w:sz w:val="24"/>
        </w:rPr>
        <w:t>la fusion de son élément verbal «n» avec le nombre «5» en un seul élément graphique. Sa représentation est inhabituelle et aura une incidence immédiate sur la perception des consommateurs, qui la garderont en mémoire et en recherchent lorsqu’ils recherchent</w:t>
      </w:r>
      <w:r>
        <w:rPr>
          <w:spacing w:val="-3"/>
          <w:sz w:val="24"/>
        </w:rPr>
        <w:t> </w:t>
      </w:r>
      <w:r>
        <w:rPr>
          <w:sz w:val="24"/>
        </w:rPr>
        <w:t>le</w:t>
      </w:r>
      <w:r>
        <w:rPr>
          <w:spacing w:val="-4"/>
          <w:sz w:val="24"/>
        </w:rPr>
        <w:t> </w:t>
      </w:r>
      <w:r>
        <w:rPr>
          <w:sz w:val="24"/>
        </w:rPr>
        <w:t>signe</w:t>
      </w:r>
      <w:r>
        <w:rPr>
          <w:spacing w:val="-4"/>
          <w:sz w:val="24"/>
        </w:rPr>
        <w:t> </w:t>
      </w:r>
      <w:r>
        <w:rPr>
          <w:sz w:val="24"/>
        </w:rPr>
        <w:t>contesté</w:t>
      </w:r>
      <w:r>
        <w:rPr>
          <w:spacing w:val="-3"/>
          <w:sz w:val="24"/>
        </w:rPr>
        <w:t> </w:t>
      </w:r>
      <w:r>
        <w:rPr>
          <w:sz w:val="24"/>
        </w:rPr>
        <w:t>et</w:t>
      </w:r>
      <w:r>
        <w:rPr>
          <w:spacing w:val="-3"/>
          <w:sz w:val="24"/>
        </w:rPr>
        <w:t> </w:t>
      </w:r>
      <w:r>
        <w:rPr>
          <w:sz w:val="24"/>
        </w:rPr>
        <w:t>les</w:t>
      </w:r>
      <w:r>
        <w:rPr>
          <w:spacing w:val="-4"/>
          <w:sz w:val="24"/>
        </w:rPr>
        <w:t> </w:t>
      </w:r>
      <w:r>
        <w:rPr>
          <w:sz w:val="24"/>
        </w:rPr>
        <w:t>produits</w:t>
      </w:r>
      <w:r>
        <w:rPr>
          <w:spacing w:val="-3"/>
          <w:sz w:val="24"/>
        </w:rPr>
        <w:t> </w:t>
      </w:r>
      <w:r>
        <w:rPr>
          <w:sz w:val="24"/>
        </w:rPr>
        <w:t>dont</w:t>
      </w:r>
      <w:r>
        <w:rPr>
          <w:spacing w:val="-3"/>
          <w:sz w:val="24"/>
        </w:rPr>
        <w:t> </w:t>
      </w:r>
      <w:r>
        <w:rPr>
          <w:sz w:val="24"/>
        </w:rPr>
        <w:t>il</w:t>
      </w:r>
      <w:r>
        <w:rPr>
          <w:spacing w:val="-3"/>
          <w:sz w:val="24"/>
        </w:rPr>
        <w:t> </w:t>
      </w:r>
      <w:r>
        <w:rPr>
          <w:sz w:val="24"/>
        </w:rPr>
        <w:t>marque</w:t>
      </w:r>
      <w:r>
        <w:rPr>
          <w:spacing w:val="-5"/>
          <w:sz w:val="24"/>
        </w:rPr>
        <w:t> </w:t>
      </w:r>
      <w:r>
        <w:rPr>
          <w:sz w:val="24"/>
        </w:rPr>
        <w:t>l’origine</w:t>
      </w:r>
      <w:r>
        <w:rPr>
          <w:spacing w:val="-3"/>
          <w:sz w:val="24"/>
        </w:rPr>
        <w:t> </w:t>
      </w:r>
      <w:r>
        <w:rPr>
          <w:sz w:val="24"/>
        </w:rPr>
        <w:t>commerciale. Ils ne</w:t>
      </w:r>
      <w:r>
        <w:rPr>
          <w:spacing w:val="-7"/>
          <w:sz w:val="24"/>
        </w:rPr>
        <w:t> </w:t>
      </w:r>
      <w:r>
        <w:rPr>
          <w:sz w:val="24"/>
        </w:rPr>
        <w:t>le</w:t>
      </w:r>
      <w:r>
        <w:rPr>
          <w:spacing w:val="-6"/>
          <w:sz w:val="24"/>
        </w:rPr>
        <w:t> </w:t>
      </w:r>
      <w:r>
        <w:rPr>
          <w:sz w:val="24"/>
        </w:rPr>
        <w:t>retrouvent</w:t>
      </w:r>
      <w:r>
        <w:rPr>
          <w:spacing w:val="-5"/>
          <w:sz w:val="24"/>
        </w:rPr>
        <w:t> </w:t>
      </w:r>
      <w:r>
        <w:rPr>
          <w:sz w:val="24"/>
        </w:rPr>
        <w:t>pas</w:t>
      </w:r>
      <w:r>
        <w:rPr>
          <w:spacing w:val="-6"/>
          <w:sz w:val="24"/>
        </w:rPr>
        <w:t> </w:t>
      </w:r>
      <w:r>
        <w:rPr>
          <w:sz w:val="24"/>
        </w:rPr>
        <w:t>dans</w:t>
      </w:r>
      <w:r>
        <w:rPr>
          <w:spacing w:val="-1"/>
          <w:sz w:val="24"/>
        </w:rPr>
        <w:t> </w:t>
      </w:r>
      <w:r>
        <w:rPr>
          <w:sz w:val="24"/>
        </w:rPr>
        <w:t>les</w:t>
      </w:r>
      <w:r>
        <w:rPr>
          <w:spacing w:val="-6"/>
          <w:sz w:val="24"/>
        </w:rPr>
        <w:t> </w:t>
      </w:r>
      <w:r>
        <w:rPr>
          <w:sz w:val="24"/>
        </w:rPr>
        <w:t>marques</w:t>
      </w:r>
      <w:r>
        <w:rPr>
          <w:spacing w:val="-3"/>
          <w:sz w:val="24"/>
        </w:rPr>
        <w:t> </w:t>
      </w:r>
      <w:r>
        <w:rPr>
          <w:sz w:val="24"/>
        </w:rPr>
        <w:t>antérieures</w:t>
      </w:r>
      <w:r>
        <w:rPr>
          <w:spacing w:val="-4"/>
          <w:sz w:val="24"/>
        </w:rPr>
        <w:t> </w:t>
      </w:r>
      <w:r>
        <w:rPr>
          <w:sz w:val="24"/>
        </w:rPr>
        <w:t>et</w:t>
      </w:r>
      <w:r>
        <w:rPr>
          <w:spacing w:val="-5"/>
          <w:sz w:val="24"/>
        </w:rPr>
        <w:t> </w:t>
      </w:r>
      <w:r>
        <w:rPr>
          <w:sz w:val="24"/>
        </w:rPr>
        <w:t>concluront</w:t>
      </w:r>
      <w:r>
        <w:rPr>
          <w:spacing w:val="-6"/>
          <w:sz w:val="24"/>
        </w:rPr>
        <w:t> </w:t>
      </w:r>
      <w:r>
        <w:rPr>
          <w:sz w:val="24"/>
        </w:rPr>
        <w:t>qu’elles</w:t>
      </w:r>
      <w:r>
        <w:rPr>
          <w:spacing w:val="-6"/>
          <w:sz w:val="24"/>
        </w:rPr>
        <w:t> </w:t>
      </w:r>
      <w:r>
        <w:rPr>
          <w:sz w:val="24"/>
        </w:rPr>
        <w:t>désignent</w:t>
      </w:r>
      <w:r>
        <w:rPr>
          <w:spacing w:val="-5"/>
          <w:sz w:val="24"/>
        </w:rPr>
        <w:t> </w:t>
      </w:r>
      <w:r>
        <w:rPr>
          <w:sz w:val="24"/>
        </w:rPr>
        <w:t>des produits ayant une origine commerciale différente.</w:t>
      </w:r>
    </w:p>
    <w:p>
      <w:pPr>
        <w:pStyle w:val="ListParagraph"/>
        <w:numPr>
          <w:ilvl w:val="0"/>
          <w:numId w:val="2"/>
        </w:numPr>
        <w:tabs>
          <w:tab w:pos="1015" w:val="left" w:leader="none"/>
          <w:tab w:pos="1017" w:val="left" w:leader="none"/>
        </w:tabs>
        <w:spacing w:line="240" w:lineRule="auto" w:before="239" w:after="0"/>
        <w:ind w:left="1017" w:right="157" w:hanging="428"/>
        <w:jc w:val="both"/>
        <w:rPr>
          <w:sz w:val="24"/>
        </w:rPr>
      </w:pPr>
      <w:r>
        <w:rPr>
          <w:sz w:val="24"/>
        </w:rPr>
        <w:t>Il reste à examiner l’argument de l’opposante selon lequel les marques antérieures, toutes</w:t>
      </w:r>
      <w:r>
        <w:rPr>
          <w:spacing w:val="-7"/>
          <w:sz w:val="24"/>
        </w:rPr>
        <w:t> </w:t>
      </w:r>
      <w:r>
        <w:rPr>
          <w:sz w:val="24"/>
        </w:rPr>
        <w:t>caractérisées</w:t>
      </w:r>
      <w:r>
        <w:rPr>
          <w:spacing w:val="-7"/>
          <w:sz w:val="24"/>
        </w:rPr>
        <w:t> </w:t>
      </w:r>
      <w:r>
        <w:rPr>
          <w:sz w:val="24"/>
        </w:rPr>
        <w:t>par</w:t>
      </w:r>
      <w:r>
        <w:rPr>
          <w:spacing w:val="-7"/>
          <w:sz w:val="24"/>
        </w:rPr>
        <w:t> </w:t>
      </w:r>
      <w:r>
        <w:rPr>
          <w:sz w:val="24"/>
        </w:rPr>
        <w:t>la</w:t>
      </w:r>
      <w:r>
        <w:rPr>
          <w:spacing w:val="-5"/>
          <w:sz w:val="24"/>
        </w:rPr>
        <w:t> </w:t>
      </w:r>
      <w:r>
        <w:rPr>
          <w:sz w:val="24"/>
        </w:rPr>
        <w:t>présence</w:t>
      </w:r>
      <w:r>
        <w:rPr>
          <w:spacing w:val="-7"/>
          <w:sz w:val="24"/>
        </w:rPr>
        <w:t> </w:t>
      </w:r>
      <w:r>
        <w:rPr>
          <w:sz w:val="24"/>
        </w:rPr>
        <w:t>du</w:t>
      </w:r>
      <w:r>
        <w:rPr>
          <w:spacing w:val="-7"/>
          <w:sz w:val="24"/>
        </w:rPr>
        <w:t> </w:t>
      </w:r>
      <w:r>
        <w:rPr>
          <w:sz w:val="24"/>
        </w:rPr>
        <w:t>même</w:t>
      </w:r>
      <w:r>
        <w:rPr>
          <w:spacing w:val="-7"/>
          <w:sz w:val="24"/>
        </w:rPr>
        <w:t> </w:t>
      </w:r>
      <w:r>
        <w:rPr>
          <w:sz w:val="24"/>
        </w:rPr>
        <w:t>élément,</w:t>
      </w:r>
      <w:r>
        <w:rPr>
          <w:spacing w:val="-2"/>
          <w:sz w:val="24"/>
        </w:rPr>
        <w:t> </w:t>
      </w:r>
      <w:r>
        <w:rPr>
          <w:sz w:val="24"/>
        </w:rPr>
        <w:t>«5»,</w:t>
      </w:r>
      <w:r>
        <w:rPr>
          <w:spacing w:val="-5"/>
          <w:sz w:val="24"/>
        </w:rPr>
        <w:t> </w:t>
      </w:r>
      <w:r>
        <w:rPr>
          <w:sz w:val="24"/>
        </w:rPr>
        <w:t>constituent</w:t>
      </w:r>
      <w:r>
        <w:rPr>
          <w:spacing w:val="-6"/>
          <w:sz w:val="24"/>
        </w:rPr>
        <w:t> </w:t>
      </w:r>
      <w:r>
        <w:rPr>
          <w:sz w:val="24"/>
        </w:rPr>
        <w:t>une</w:t>
      </w:r>
      <w:r>
        <w:rPr>
          <w:spacing w:val="-5"/>
          <w:sz w:val="24"/>
        </w:rPr>
        <w:t> </w:t>
      </w:r>
      <w:r>
        <w:rPr>
          <w:sz w:val="24"/>
        </w:rPr>
        <w:t>famille</w:t>
      </w:r>
      <w:r>
        <w:rPr>
          <w:spacing w:val="-7"/>
          <w:sz w:val="24"/>
        </w:rPr>
        <w:t> </w:t>
      </w:r>
      <w:r>
        <w:rPr>
          <w:sz w:val="24"/>
        </w:rPr>
        <w:t>de marques ou de marques de série.</w:t>
      </w:r>
    </w:p>
    <w:p>
      <w:pPr>
        <w:pStyle w:val="ListParagraph"/>
        <w:numPr>
          <w:ilvl w:val="0"/>
          <w:numId w:val="2"/>
        </w:numPr>
        <w:tabs>
          <w:tab w:pos="1015" w:val="left" w:leader="none"/>
          <w:tab w:pos="1017" w:val="left" w:leader="none"/>
        </w:tabs>
        <w:spacing w:line="240" w:lineRule="auto" w:before="241" w:after="0"/>
        <w:ind w:left="1017" w:right="161" w:hanging="428"/>
        <w:jc w:val="both"/>
        <w:rPr>
          <w:sz w:val="24"/>
        </w:rPr>
      </w:pPr>
      <w:r>
        <w:rPr>
          <w:sz w:val="24"/>
        </w:rPr>
        <w:t>L’opposante n’a pas prouvé qu’elle utilise une famille de marques «5» et qu’elle utilise une telle famille dans les mêmes domaines que ceux couverts par le signe contesté.</w:t>
      </w:r>
      <w:r>
        <w:rPr>
          <w:spacing w:val="-1"/>
          <w:sz w:val="24"/>
        </w:rPr>
        <w:t> </w:t>
      </w:r>
      <w:r>
        <w:rPr>
          <w:sz w:val="24"/>
        </w:rPr>
        <w:t>Les</w:t>
      </w:r>
      <w:r>
        <w:rPr>
          <w:spacing w:val="-4"/>
          <w:sz w:val="24"/>
        </w:rPr>
        <w:t> </w:t>
      </w:r>
      <w:r>
        <w:rPr>
          <w:sz w:val="24"/>
        </w:rPr>
        <w:t>éléments</w:t>
      </w:r>
      <w:r>
        <w:rPr>
          <w:spacing w:val="-4"/>
          <w:sz w:val="24"/>
        </w:rPr>
        <w:t> </w:t>
      </w:r>
      <w:r>
        <w:rPr>
          <w:sz w:val="24"/>
        </w:rPr>
        <w:t>de</w:t>
      </w:r>
      <w:r>
        <w:rPr>
          <w:spacing w:val="-2"/>
          <w:sz w:val="24"/>
        </w:rPr>
        <w:t> </w:t>
      </w:r>
      <w:r>
        <w:rPr>
          <w:sz w:val="24"/>
        </w:rPr>
        <w:t>preuve</w:t>
      </w:r>
      <w:r>
        <w:rPr>
          <w:spacing w:val="-4"/>
          <w:sz w:val="24"/>
        </w:rPr>
        <w:t> </w:t>
      </w:r>
      <w:r>
        <w:rPr>
          <w:sz w:val="24"/>
        </w:rPr>
        <w:t>produits</w:t>
      </w:r>
      <w:r>
        <w:rPr>
          <w:spacing w:val="-4"/>
          <w:sz w:val="24"/>
        </w:rPr>
        <w:t> </w:t>
      </w:r>
      <w:r>
        <w:rPr>
          <w:sz w:val="24"/>
        </w:rPr>
        <w:t>par</w:t>
      </w:r>
      <w:r>
        <w:rPr>
          <w:spacing w:val="-2"/>
          <w:sz w:val="24"/>
        </w:rPr>
        <w:t> </w:t>
      </w:r>
      <w:r>
        <w:rPr>
          <w:sz w:val="24"/>
        </w:rPr>
        <w:t>l’opposante,</w:t>
      </w:r>
      <w:r>
        <w:rPr>
          <w:spacing w:val="-3"/>
          <w:sz w:val="24"/>
        </w:rPr>
        <w:t> </w:t>
      </w:r>
      <w:r>
        <w:rPr>
          <w:sz w:val="24"/>
        </w:rPr>
        <w:t>comme</w:t>
      </w:r>
      <w:r>
        <w:rPr>
          <w:spacing w:val="-2"/>
          <w:sz w:val="24"/>
        </w:rPr>
        <w:t> </w:t>
      </w:r>
      <w:r>
        <w:rPr>
          <w:sz w:val="24"/>
        </w:rPr>
        <w:t>indiqué</w:t>
      </w:r>
      <w:r>
        <w:rPr>
          <w:spacing w:val="-2"/>
          <w:sz w:val="24"/>
        </w:rPr>
        <w:t> </w:t>
      </w:r>
      <w:r>
        <w:rPr>
          <w:sz w:val="24"/>
        </w:rPr>
        <w:t>ci-dessus, ne montrent que deux marques, à savoir les marques antérieures sur lesquelles son opposition est fondée. Toutefois, les éléments de preuve produits par l’opposante ne suffisent pas à prouver que ces marques sont effectivement utilisées étant donné qu’elles se limitent à des documents promotionnels dépassés sans faire référence au territoire pertinent et ne démontrent pas l’existence d’achats réels des produits. Les observations de l’opposante indiquent qu’elle est titulaire d’une marque tierce sans apporter la preuve de son usage.</w:t>
      </w:r>
    </w:p>
    <w:p>
      <w:pPr>
        <w:pStyle w:val="ListParagraph"/>
        <w:numPr>
          <w:ilvl w:val="0"/>
          <w:numId w:val="2"/>
        </w:numPr>
        <w:tabs>
          <w:tab w:pos="1015" w:val="left" w:leader="none"/>
          <w:tab w:pos="1017" w:val="left" w:leader="none"/>
        </w:tabs>
        <w:spacing w:line="240" w:lineRule="auto" w:before="240" w:after="0"/>
        <w:ind w:left="1017" w:right="163" w:hanging="428"/>
        <w:jc w:val="both"/>
        <w:rPr>
          <w:sz w:val="24"/>
        </w:rPr>
      </w:pPr>
      <w:r>
        <w:rPr>
          <w:sz w:val="24"/>
        </w:rPr>
        <w:t>Compte tenu de tout ce qui précède, même à supposer que les produits soient identiques, il n’existe aucun risque de confusion. En conséquence, l’opposition doit être rejetée;</w:t>
      </w:r>
    </w:p>
    <w:p>
      <w:pPr>
        <w:pStyle w:val="ListParagraph"/>
        <w:numPr>
          <w:ilvl w:val="0"/>
          <w:numId w:val="2"/>
        </w:numPr>
        <w:tabs>
          <w:tab w:pos="1015" w:val="left" w:leader="none"/>
          <w:tab w:pos="1017" w:val="left" w:leader="none"/>
        </w:tabs>
        <w:spacing w:line="240" w:lineRule="auto" w:before="239" w:after="0"/>
        <w:ind w:left="1017" w:right="159" w:hanging="428"/>
        <w:jc w:val="both"/>
        <w:rPr>
          <w:sz w:val="24"/>
        </w:rPr>
      </w:pPr>
      <w:r>
        <w:rPr>
          <w:sz w:val="24"/>
        </w:rPr>
        <w:t>Cette absence de risque de confusion s’applique également à la partie du public pour laquelle</w:t>
      </w:r>
      <w:r>
        <w:rPr>
          <w:spacing w:val="-4"/>
          <w:sz w:val="24"/>
        </w:rPr>
        <w:t> </w:t>
      </w:r>
      <w:r>
        <w:rPr>
          <w:sz w:val="24"/>
        </w:rPr>
        <w:t>l’élément</w:t>
      </w:r>
      <w:r>
        <w:rPr>
          <w:spacing w:val="-4"/>
          <w:sz w:val="24"/>
        </w:rPr>
        <w:t> </w:t>
      </w:r>
      <w:r>
        <w:rPr>
          <w:sz w:val="24"/>
        </w:rPr>
        <w:t>verbal</w:t>
      </w:r>
      <w:r>
        <w:rPr>
          <w:spacing w:val="-4"/>
          <w:sz w:val="24"/>
        </w:rPr>
        <w:t> </w:t>
      </w:r>
      <w:r>
        <w:rPr>
          <w:sz w:val="24"/>
        </w:rPr>
        <w:t>du</w:t>
      </w:r>
      <w:r>
        <w:rPr>
          <w:spacing w:val="-4"/>
          <w:sz w:val="24"/>
        </w:rPr>
        <w:t> </w:t>
      </w:r>
      <w:r>
        <w:rPr>
          <w:sz w:val="24"/>
        </w:rPr>
        <w:t>signe</w:t>
      </w:r>
      <w:r>
        <w:rPr>
          <w:spacing w:val="-4"/>
          <w:sz w:val="24"/>
        </w:rPr>
        <w:t> </w:t>
      </w:r>
      <w:r>
        <w:rPr>
          <w:sz w:val="24"/>
        </w:rPr>
        <w:t>contesté</w:t>
      </w:r>
      <w:r>
        <w:rPr>
          <w:spacing w:val="-5"/>
          <w:sz w:val="24"/>
        </w:rPr>
        <w:t> </w:t>
      </w:r>
      <w:r>
        <w:rPr>
          <w:sz w:val="24"/>
        </w:rPr>
        <w:t>est</w:t>
      </w:r>
      <w:r>
        <w:rPr>
          <w:spacing w:val="-4"/>
          <w:sz w:val="24"/>
        </w:rPr>
        <w:t> </w:t>
      </w:r>
      <w:r>
        <w:rPr>
          <w:sz w:val="24"/>
        </w:rPr>
        <w:t>perçu</w:t>
      </w:r>
      <w:r>
        <w:rPr>
          <w:spacing w:val="-4"/>
          <w:sz w:val="24"/>
        </w:rPr>
        <w:t> </w:t>
      </w:r>
      <w:r>
        <w:rPr>
          <w:sz w:val="24"/>
        </w:rPr>
        <w:t>comme</w:t>
      </w:r>
      <w:r>
        <w:rPr>
          <w:spacing w:val="-4"/>
          <w:sz w:val="24"/>
        </w:rPr>
        <w:t> </w:t>
      </w:r>
      <w:r>
        <w:rPr>
          <w:sz w:val="24"/>
        </w:rPr>
        <w:t>incluant</w:t>
      </w:r>
      <w:r>
        <w:rPr>
          <w:spacing w:val="-4"/>
          <w:sz w:val="24"/>
        </w:rPr>
        <w:t> </w:t>
      </w:r>
      <w:r>
        <w:rPr>
          <w:sz w:val="24"/>
        </w:rPr>
        <w:t>la</w:t>
      </w:r>
      <w:r>
        <w:rPr>
          <w:spacing w:val="-4"/>
          <w:sz w:val="24"/>
        </w:rPr>
        <w:t> </w:t>
      </w:r>
      <w:r>
        <w:rPr>
          <w:sz w:val="24"/>
        </w:rPr>
        <w:t>lettre</w:t>
      </w:r>
      <w:r>
        <w:rPr>
          <w:spacing w:val="-1"/>
          <w:sz w:val="24"/>
        </w:rPr>
        <w:t> </w:t>
      </w:r>
      <w:r>
        <w:rPr>
          <w:sz w:val="24"/>
        </w:rPr>
        <w:t>«m»,</w:t>
      </w:r>
      <w:r>
        <w:rPr>
          <w:spacing w:val="-2"/>
          <w:sz w:val="24"/>
        </w:rPr>
        <w:t> </w:t>
      </w:r>
      <w:r>
        <w:rPr>
          <w:sz w:val="24"/>
        </w:rPr>
        <w:t>et non la lettre «n». En effet, pour cette partie du public, les signes ne coïncideront pas</w:t>
      </w:r>
    </w:p>
    <w:p>
      <w:pPr>
        <w:pStyle w:val="BodyText"/>
        <w:rPr>
          <w:sz w:val="18"/>
        </w:rPr>
      </w:pPr>
    </w:p>
    <w:p>
      <w:pPr>
        <w:pStyle w:val="BodyText"/>
        <w:rPr>
          <w:sz w:val="18"/>
        </w:rPr>
      </w:pPr>
    </w:p>
    <w:p>
      <w:pPr>
        <w:pStyle w:val="BodyText"/>
        <w:spacing w:before="46"/>
        <w:rPr>
          <w:sz w:val="18"/>
        </w:rPr>
      </w:pPr>
    </w:p>
    <w:p>
      <w:pPr>
        <w:spacing w:before="0"/>
        <w:ind w:left="2737" w:right="2738" w:firstLine="0"/>
        <w:jc w:val="center"/>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p>
      <w:pPr>
        <w:spacing w:after="0"/>
        <w:jc w:val="center"/>
        <w:rPr>
          <w:sz w:val="18"/>
        </w:rPr>
        <w:sectPr>
          <w:pgSz w:w="11910" w:h="16840"/>
          <w:pgMar w:header="970" w:footer="0" w:top="1180" w:bottom="280" w:left="1275" w:right="1275"/>
        </w:sectPr>
      </w:pPr>
    </w:p>
    <w:p>
      <w:pPr>
        <w:pStyle w:val="BodyText"/>
        <w:spacing w:before="249"/>
        <w:ind w:left="1017"/>
      </w:pPr>
      <w:r>
        <w:rPr/>
        <mc:AlternateContent>
          <mc:Choice Requires="wps">
            <w:drawing>
              <wp:anchor distT="0" distB="0" distL="0" distR="0" allowOverlap="1" layoutInCell="1" locked="0" behindDoc="0" simplePos="0" relativeHeight="15734272">
                <wp:simplePos x="0" y="0"/>
                <wp:positionH relativeFrom="page">
                  <wp:posOffset>270575</wp:posOffset>
                </wp:positionH>
                <wp:positionV relativeFrom="page">
                  <wp:posOffset>1114363</wp:posOffset>
                </wp:positionV>
                <wp:extent cx="146050" cy="921004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46050" cy="9210040"/>
                        </a:xfrm>
                        <a:prstGeom prst="rect">
                          <a:avLst/>
                        </a:prstGeom>
                      </wps:spPr>
                      <wps:txbx>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wps:txbx>
                      <wps:bodyPr wrap="square" lIns="0" tIns="0" rIns="0" bIns="0" rtlCol="0" vert="vert270">
                        <a:noAutofit/>
                      </wps:bodyPr>
                    </wps:wsp>
                  </a:graphicData>
                </a:graphic>
              </wp:anchor>
            </w:drawing>
          </mc:Choice>
          <mc:Fallback>
            <w:pict>
              <v:shape style="position:absolute;margin-left:21.305176pt;margin-top:87.745193pt;width:11.5pt;height:725.2pt;mso-position-horizontal-relative:page;mso-position-vertical-relative:page;z-index:15734272" type="#_x0000_t202" id="docshape11" filled="false" stroked="false">
                <v:textbox inset="0,0,0,0" style="layout-flow:vertical;mso-layout-flow-alt:bottom-to-top">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v:textbox>
                <w10:wrap type="none"/>
              </v:shape>
            </w:pict>
          </mc:Fallback>
        </mc:AlternateContent>
      </w:r>
      <w:r>
        <w:rPr/>
        <w:t>du</w:t>
      </w:r>
      <w:r>
        <w:rPr>
          <w:spacing w:val="-6"/>
        </w:rPr>
        <w:t> </w:t>
      </w:r>
      <w:r>
        <w:rPr/>
        <w:t>tout</w:t>
      </w:r>
      <w:r>
        <w:rPr>
          <w:spacing w:val="-5"/>
        </w:rPr>
        <w:t> </w:t>
      </w:r>
      <w:r>
        <w:rPr/>
        <w:t>par</w:t>
      </w:r>
      <w:r>
        <w:rPr>
          <w:spacing w:val="-7"/>
        </w:rPr>
        <w:t> </w:t>
      </w:r>
      <w:r>
        <w:rPr/>
        <w:t>la</w:t>
      </w:r>
      <w:r>
        <w:rPr>
          <w:spacing w:val="-7"/>
        </w:rPr>
        <w:t> </w:t>
      </w:r>
      <w:r>
        <w:rPr/>
        <w:t>lettre «n».</w:t>
      </w:r>
      <w:r>
        <w:rPr>
          <w:spacing w:val="-1"/>
        </w:rPr>
        <w:t> </w:t>
      </w:r>
      <w:r>
        <w:rPr/>
        <w:t>Par</w:t>
      </w:r>
      <w:r>
        <w:rPr>
          <w:spacing w:val="-7"/>
        </w:rPr>
        <w:t> </w:t>
      </w:r>
      <w:r>
        <w:rPr/>
        <w:t>conséquent,</w:t>
      </w:r>
      <w:r>
        <w:rPr>
          <w:spacing w:val="-5"/>
        </w:rPr>
        <w:t> </w:t>
      </w:r>
      <w:r>
        <w:rPr/>
        <w:t>ils</w:t>
      </w:r>
      <w:r>
        <w:rPr>
          <w:spacing w:val="-6"/>
        </w:rPr>
        <w:t> </w:t>
      </w:r>
      <w:r>
        <w:rPr/>
        <w:t>percevront</w:t>
      </w:r>
      <w:r>
        <w:rPr>
          <w:spacing w:val="-6"/>
        </w:rPr>
        <w:t> </w:t>
      </w:r>
      <w:r>
        <w:rPr/>
        <w:t>le</w:t>
      </w:r>
      <w:r>
        <w:rPr>
          <w:spacing w:val="-2"/>
        </w:rPr>
        <w:t> </w:t>
      </w:r>
      <w:r>
        <w:rPr/>
        <w:t>signe</w:t>
      </w:r>
      <w:r>
        <w:rPr>
          <w:spacing w:val="-4"/>
        </w:rPr>
        <w:t> </w:t>
      </w:r>
      <w:r>
        <w:rPr/>
        <w:t>contesté</w:t>
      </w:r>
      <w:r>
        <w:rPr>
          <w:spacing w:val="-4"/>
        </w:rPr>
        <w:t> </w:t>
      </w:r>
      <w:r>
        <w:rPr/>
        <w:t>comme</w:t>
      </w:r>
      <w:r>
        <w:rPr>
          <w:spacing w:val="-7"/>
        </w:rPr>
        <w:t> </w:t>
      </w:r>
      <w:r>
        <w:rPr/>
        <w:t>étant encore moins similaire à la marque antérieure no 2.</w:t>
      </w:r>
    </w:p>
    <w:p>
      <w:pPr>
        <w:pStyle w:val="ListParagraph"/>
        <w:numPr>
          <w:ilvl w:val="0"/>
          <w:numId w:val="1"/>
        </w:numPr>
        <w:tabs>
          <w:tab w:pos="590" w:val="left" w:leader="none"/>
        </w:tabs>
        <w:spacing w:line="240" w:lineRule="auto" w:before="240" w:after="0"/>
        <w:ind w:left="590" w:right="160" w:hanging="425"/>
        <w:jc w:val="both"/>
        <w:rPr>
          <w:sz w:val="24"/>
        </w:rPr>
      </w:pPr>
      <w:r>
        <w:rPr>
          <w:sz w:val="24"/>
        </w:rPr>
        <w:t>Le</w:t>
      </w:r>
      <w:r>
        <w:rPr>
          <w:spacing w:val="-14"/>
          <w:sz w:val="24"/>
        </w:rPr>
        <w:t> </w:t>
      </w:r>
      <w:r>
        <w:rPr>
          <w:sz w:val="24"/>
        </w:rPr>
        <w:t>8</w:t>
      </w:r>
      <w:r>
        <w:rPr>
          <w:spacing w:val="-13"/>
          <w:sz w:val="24"/>
        </w:rPr>
        <w:t> </w:t>
      </w:r>
      <w:r>
        <w:rPr>
          <w:sz w:val="24"/>
        </w:rPr>
        <w:t>août</w:t>
      </w:r>
      <w:r>
        <w:rPr>
          <w:spacing w:val="-13"/>
          <w:sz w:val="24"/>
        </w:rPr>
        <w:t> </w:t>
      </w:r>
      <w:r>
        <w:rPr>
          <w:sz w:val="24"/>
        </w:rPr>
        <w:t>2024,</w:t>
      </w:r>
      <w:r>
        <w:rPr>
          <w:spacing w:val="-13"/>
          <w:sz w:val="24"/>
        </w:rPr>
        <w:t> </w:t>
      </w:r>
      <w:r>
        <w:rPr>
          <w:sz w:val="24"/>
        </w:rPr>
        <w:t>l’opposante</w:t>
      </w:r>
      <w:r>
        <w:rPr>
          <w:spacing w:val="-14"/>
          <w:sz w:val="24"/>
        </w:rPr>
        <w:t> </w:t>
      </w:r>
      <w:r>
        <w:rPr>
          <w:sz w:val="24"/>
        </w:rPr>
        <w:t>a</w:t>
      </w:r>
      <w:r>
        <w:rPr>
          <w:spacing w:val="-14"/>
          <w:sz w:val="24"/>
        </w:rPr>
        <w:t> </w:t>
      </w:r>
      <w:r>
        <w:rPr>
          <w:sz w:val="24"/>
        </w:rPr>
        <w:t>formé</w:t>
      </w:r>
      <w:r>
        <w:rPr>
          <w:spacing w:val="-14"/>
          <w:sz w:val="24"/>
        </w:rPr>
        <w:t> </w:t>
      </w:r>
      <w:r>
        <w:rPr>
          <w:sz w:val="24"/>
        </w:rPr>
        <w:t>un</w:t>
      </w:r>
      <w:r>
        <w:rPr>
          <w:spacing w:val="-13"/>
          <w:sz w:val="24"/>
        </w:rPr>
        <w:t> </w:t>
      </w:r>
      <w:r>
        <w:rPr>
          <w:sz w:val="24"/>
        </w:rPr>
        <w:t>recours</w:t>
      </w:r>
      <w:r>
        <w:rPr>
          <w:spacing w:val="-14"/>
          <w:sz w:val="24"/>
        </w:rPr>
        <w:t> </w:t>
      </w:r>
      <w:r>
        <w:rPr>
          <w:sz w:val="24"/>
        </w:rPr>
        <w:t>contre</w:t>
      </w:r>
      <w:r>
        <w:rPr>
          <w:spacing w:val="-14"/>
          <w:sz w:val="24"/>
        </w:rPr>
        <w:t> </w:t>
      </w:r>
      <w:r>
        <w:rPr>
          <w:sz w:val="24"/>
        </w:rPr>
        <w:t>la</w:t>
      </w:r>
      <w:r>
        <w:rPr>
          <w:spacing w:val="-14"/>
          <w:sz w:val="24"/>
        </w:rPr>
        <w:t> </w:t>
      </w:r>
      <w:r>
        <w:rPr>
          <w:sz w:val="24"/>
        </w:rPr>
        <w:t>décision</w:t>
      </w:r>
      <w:r>
        <w:rPr>
          <w:spacing w:val="-13"/>
          <w:sz w:val="24"/>
        </w:rPr>
        <w:t> </w:t>
      </w:r>
      <w:r>
        <w:rPr>
          <w:sz w:val="24"/>
        </w:rPr>
        <w:t>attaquée,</w:t>
      </w:r>
      <w:r>
        <w:rPr>
          <w:spacing w:val="-11"/>
          <w:sz w:val="24"/>
        </w:rPr>
        <w:t> </w:t>
      </w:r>
      <w:r>
        <w:rPr>
          <w:sz w:val="24"/>
        </w:rPr>
        <w:t>demandant</w:t>
      </w:r>
      <w:r>
        <w:rPr>
          <w:spacing w:val="-13"/>
          <w:sz w:val="24"/>
        </w:rPr>
        <w:t> </w:t>
      </w:r>
      <w:r>
        <w:rPr>
          <w:sz w:val="24"/>
        </w:rPr>
        <w:t>que celle-ci</w:t>
      </w:r>
      <w:r>
        <w:rPr>
          <w:spacing w:val="-4"/>
          <w:sz w:val="24"/>
        </w:rPr>
        <w:t> </w:t>
      </w:r>
      <w:r>
        <w:rPr>
          <w:sz w:val="24"/>
        </w:rPr>
        <w:t>soit</w:t>
      </w:r>
      <w:r>
        <w:rPr>
          <w:spacing w:val="-4"/>
          <w:sz w:val="24"/>
        </w:rPr>
        <w:t> </w:t>
      </w:r>
      <w:r>
        <w:rPr>
          <w:sz w:val="24"/>
        </w:rPr>
        <w:t>annulée</w:t>
      </w:r>
      <w:r>
        <w:rPr>
          <w:spacing w:val="-5"/>
          <w:sz w:val="24"/>
        </w:rPr>
        <w:t> </w:t>
      </w:r>
      <w:r>
        <w:rPr>
          <w:sz w:val="24"/>
        </w:rPr>
        <w:t>dans</w:t>
      </w:r>
      <w:r>
        <w:rPr>
          <w:spacing w:val="-2"/>
          <w:sz w:val="24"/>
        </w:rPr>
        <w:t> </w:t>
      </w:r>
      <w:r>
        <w:rPr>
          <w:sz w:val="24"/>
        </w:rPr>
        <w:t>son</w:t>
      </w:r>
      <w:r>
        <w:rPr>
          <w:spacing w:val="-4"/>
          <w:sz w:val="24"/>
        </w:rPr>
        <w:t> </w:t>
      </w:r>
      <w:r>
        <w:rPr>
          <w:sz w:val="24"/>
        </w:rPr>
        <w:t>intégralité.</w:t>
      </w:r>
      <w:r>
        <w:rPr>
          <w:spacing w:val="-3"/>
          <w:sz w:val="24"/>
        </w:rPr>
        <w:t> </w:t>
      </w:r>
      <w:r>
        <w:rPr>
          <w:sz w:val="24"/>
        </w:rPr>
        <w:t>Le</w:t>
      </w:r>
      <w:r>
        <w:rPr>
          <w:spacing w:val="-5"/>
          <w:sz w:val="24"/>
        </w:rPr>
        <w:t> </w:t>
      </w:r>
      <w:r>
        <w:rPr>
          <w:sz w:val="24"/>
        </w:rPr>
        <w:t>mémoire</w:t>
      </w:r>
      <w:r>
        <w:rPr>
          <w:spacing w:val="-6"/>
          <w:sz w:val="24"/>
        </w:rPr>
        <w:t> </w:t>
      </w:r>
      <w:r>
        <w:rPr>
          <w:sz w:val="24"/>
        </w:rPr>
        <w:t>exposant</w:t>
      </w:r>
      <w:r>
        <w:rPr>
          <w:spacing w:val="-4"/>
          <w:sz w:val="24"/>
        </w:rPr>
        <w:t> </w:t>
      </w:r>
      <w:r>
        <w:rPr>
          <w:sz w:val="24"/>
        </w:rPr>
        <w:t>les</w:t>
      </w:r>
      <w:r>
        <w:rPr>
          <w:spacing w:val="-4"/>
          <w:sz w:val="24"/>
        </w:rPr>
        <w:t> </w:t>
      </w:r>
      <w:r>
        <w:rPr>
          <w:sz w:val="24"/>
        </w:rPr>
        <w:t>motifs</w:t>
      </w:r>
      <w:r>
        <w:rPr>
          <w:spacing w:val="-4"/>
          <w:sz w:val="24"/>
        </w:rPr>
        <w:t> </w:t>
      </w:r>
      <w:r>
        <w:rPr>
          <w:sz w:val="24"/>
        </w:rPr>
        <w:t>du</w:t>
      </w:r>
      <w:r>
        <w:rPr>
          <w:spacing w:val="-4"/>
          <w:sz w:val="24"/>
        </w:rPr>
        <w:t> </w:t>
      </w:r>
      <w:r>
        <w:rPr>
          <w:sz w:val="24"/>
        </w:rPr>
        <w:t>recours</w:t>
      </w:r>
      <w:r>
        <w:rPr>
          <w:spacing w:val="-4"/>
          <w:sz w:val="24"/>
        </w:rPr>
        <w:t> </w:t>
      </w:r>
      <w:r>
        <w:rPr>
          <w:sz w:val="24"/>
        </w:rPr>
        <w:t>a</w:t>
      </w:r>
      <w:r>
        <w:rPr>
          <w:spacing w:val="-1"/>
          <w:sz w:val="24"/>
        </w:rPr>
        <w:t> </w:t>
      </w:r>
      <w:r>
        <w:rPr>
          <w:sz w:val="24"/>
        </w:rPr>
        <w:t>été reçu le 16 octobre 2024 et contenait les éléments de preuve suivants:</w:t>
      </w:r>
    </w:p>
    <w:p>
      <w:pPr>
        <w:pStyle w:val="ListParagraph"/>
        <w:numPr>
          <w:ilvl w:val="0"/>
          <w:numId w:val="3"/>
        </w:numPr>
        <w:tabs>
          <w:tab w:pos="1015" w:val="left" w:leader="none"/>
          <w:tab w:pos="1017" w:val="left" w:leader="none"/>
        </w:tabs>
        <w:spacing w:line="240" w:lineRule="auto" w:before="240" w:after="0"/>
        <w:ind w:left="1017" w:right="163" w:hanging="428"/>
        <w:jc w:val="both"/>
        <w:rPr>
          <w:sz w:val="24"/>
        </w:rPr>
      </w:pPr>
      <w:r>
        <w:rPr>
          <w:sz w:val="24"/>
          <w:u w:val="single"/>
        </w:rPr>
        <w:t>Annexe 1</w:t>
      </w:r>
      <w:r>
        <w:rPr>
          <w:sz w:val="24"/>
        </w:rPr>
        <w:t>:</w:t>
      </w:r>
      <w:r>
        <w:rPr>
          <w:spacing w:val="-2"/>
          <w:sz w:val="24"/>
        </w:rPr>
        <w:t> </w:t>
      </w:r>
      <w:r>
        <w:rPr>
          <w:sz w:val="24"/>
        </w:rPr>
        <w:t>Pièce 3 produite devant la division d’opposition. Parfums no 5 sur le site Internet commercial </w:t>
      </w:r>
      <w:hyperlink r:id="rId10">
        <w:r>
          <w:rPr>
            <w:sz w:val="24"/>
          </w:rPr>
          <w:t>www.chanel.com.</w:t>
        </w:r>
      </w:hyperlink>
    </w:p>
    <w:p>
      <w:pPr>
        <w:pStyle w:val="ListParagraph"/>
        <w:numPr>
          <w:ilvl w:val="0"/>
          <w:numId w:val="3"/>
        </w:numPr>
        <w:tabs>
          <w:tab w:pos="1017" w:val="left" w:leader="none"/>
        </w:tabs>
        <w:spacing w:line="294" w:lineRule="exact" w:before="238" w:after="0"/>
        <w:ind w:left="1017" w:right="0" w:hanging="427"/>
        <w:jc w:val="left"/>
        <w:rPr>
          <w:sz w:val="24"/>
        </w:rPr>
      </w:pPr>
      <w:r>
        <w:rPr>
          <w:sz w:val="24"/>
          <w:u w:val="single"/>
        </w:rPr>
        <w:t>Annexe 2</w:t>
      </w:r>
      <w:r>
        <w:rPr>
          <w:sz w:val="24"/>
        </w:rPr>
        <w:t>:</w:t>
      </w:r>
      <w:r>
        <w:rPr>
          <w:spacing w:val="-1"/>
          <w:sz w:val="24"/>
        </w:rPr>
        <w:t> </w:t>
      </w:r>
      <w:r>
        <w:rPr>
          <w:sz w:val="24"/>
        </w:rPr>
        <w:t>Pièce</w:t>
      </w:r>
      <w:r>
        <w:rPr>
          <w:spacing w:val="2"/>
          <w:sz w:val="24"/>
        </w:rPr>
        <w:t> </w:t>
      </w:r>
      <w:r>
        <w:rPr>
          <w:sz w:val="24"/>
        </w:rPr>
        <w:t>2</w:t>
      </w:r>
      <w:r>
        <w:rPr>
          <w:spacing w:val="3"/>
          <w:sz w:val="24"/>
        </w:rPr>
        <w:t> </w:t>
      </w:r>
      <w:r>
        <w:rPr>
          <w:sz w:val="24"/>
        </w:rPr>
        <w:t>produite</w:t>
      </w:r>
      <w:r>
        <w:rPr>
          <w:spacing w:val="3"/>
          <w:sz w:val="24"/>
        </w:rPr>
        <w:t> </w:t>
      </w:r>
      <w:r>
        <w:rPr>
          <w:sz w:val="24"/>
        </w:rPr>
        <w:t>devant</w:t>
      </w:r>
      <w:r>
        <w:rPr>
          <w:spacing w:val="5"/>
          <w:sz w:val="24"/>
        </w:rPr>
        <w:t> </w:t>
      </w:r>
      <w:r>
        <w:rPr>
          <w:sz w:val="24"/>
        </w:rPr>
        <w:t>la</w:t>
      </w:r>
      <w:r>
        <w:rPr>
          <w:spacing w:val="3"/>
          <w:sz w:val="24"/>
        </w:rPr>
        <w:t> </w:t>
      </w:r>
      <w:r>
        <w:rPr>
          <w:sz w:val="24"/>
        </w:rPr>
        <w:t>division</w:t>
      </w:r>
      <w:r>
        <w:rPr>
          <w:spacing w:val="4"/>
          <w:sz w:val="24"/>
        </w:rPr>
        <w:t> </w:t>
      </w:r>
      <w:r>
        <w:rPr>
          <w:sz w:val="24"/>
        </w:rPr>
        <w:t>d’opposition.</w:t>
      </w:r>
      <w:r>
        <w:rPr>
          <w:spacing w:val="7"/>
          <w:sz w:val="24"/>
        </w:rPr>
        <w:t> </w:t>
      </w:r>
      <w:r>
        <w:rPr>
          <w:sz w:val="24"/>
        </w:rPr>
        <w:t>Pages</w:t>
      </w:r>
      <w:r>
        <w:rPr>
          <w:spacing w:val="3"/>
          <w:sz w:val="24"/>
        </w:rPr>
        <w:t> </w:t>
      </w:r>
      <w:r>
        <w:rPr>
          <w:sz w:val="24"/>
        </w:rPr>
        <w:t>Wikipedia.org</w:t>
      </w:r>
      <w:r>
        <w:rPr>
          <w:spacing w:val="4"/>
          <w:sz w:val="24"/>
        </w:rPr>
        <w:t> </w:t>
      </w:r>
      <w:r>
        <w:rPr>
          <w:spacing w:val="-5"/>
          <w:sz w:val="24"/>
        </w:rPr>
        <w:t>sur</w:t>
      </w:r>
    </w:p>
    <w:p>
      <w:pPr>
        <w:pStyle w:val="BodyText"/>
        <w:spacing w:line="276" w:lineRule="exact"/>
        <w:ind w:left="1017"/>
      </w:pPr>
      <w:r>
        <w:rPr/>
        <w:t>«Chanel</w:t>
      </w:r>
      <w:r>
        <w:rPr>
          <w:spacing w:val="-1"/>
        </w:rPr>
        <w:t> </w:t>
      </w:r>
      <w:r>
        <w:rPr/>
        <w:t>No</w:t>
      </w:r>
      <w:r>
        <w:rPr>
          <w:spacing w:val="-2"/>
        </w:rPr>
        <w:t> </w:t>
      </w:r>
      <w:r>
        <w:rPr>
          <w:spacing w:val="-5"/>
        </w:rPr>
        <w:t>5».</w:t>
      </w:r>
    </w:p>
    <w:p>
      <w:pPr>
        <w:pStyle w:val="ListParagraph"/>
        <w:numPr>
          <w:ilvl w:val="0"/>
          <w:numId w:val="3"/>
        </w:numPr>
        <w:tabs>
          <w:tab w:pos="1015" w:val="left" w:leader="none"/>
          <w:tab w:pos="1017" w:val="left" w:leader="none"/>
        </w:tabs>
        <w:spacing w:line="240" w:lineRule="auto" w:before="240" w:after="0"/>
        <w:ind w:left="1017" w:right="167" w:hanging="428"/>
        <w:jc w:val="both"/>
        <w:rPr>
          <w:sz w:val="24"/>
        </w:rPr>
      </w:pPr>
      <w:r>
        <w:rPr>
          <w:sz w:val="24"/>
          <w:u w:val="single"/>
        </w:rPr>
        <w:t>Annexe 3</w:t>
      </w:r>
      <w:r>
        <w:rPr>
          <w:sz w:val="24"/>
        </w:rPr>
        <w:t>:</w:t>
      </w:r>
      <w:r>
        <w:rPr>
          <w:spacing w:val="-3"/>
          <w:sz w:val="24"/>
        </w:rPr>
        <w:t> </w:t>
      </w:r>
      <w:r>
        <w:rPr>
          <w:sz w:val="24"/>
        </w:rPr>
        <w:t>Films publicitaires pour «No 5», désormais disponibles sur YouTube (en particulier en provenance de France).</w:t>
      </w:r>
    </w:p>
    <w:p>
      <w:pPr>
        <w:pStyle w:val="ListParagraph"/>
        <w:numPr>
          <w:ilvl w:val="0"/>
          <w:numId w:val="3"/>
        </w:numPr>
        <w:tabs>
          <w:tab w:pos="1015" w:val="left" w:leader="none"/>
          <w:tab w:pos="1017" w:val="left" w:leader="none"/>
        </w:tabs>
        <w:spacing w:line="240" w:lineRule="auto" w:before="239" w:after="0"/>
        <w:ind w:left="1017" w:right="167" w:hanging="428"/>
        <w:jc w:val="both"/>
        <w:rPr>
          <w:sz w:val="24"/>
        </w:rPr>
      </w:pPr>
      <w:r>
        <w:rPr>
          <w:sz w:val="24"/>
          <w:u w:val="single"/>
        </w:rPr>
        <w:t>Annexe 4</w:t>
      </w:r>
      <w:r>
        <w:rPr>
          <w:sz w:val="24"/>
        </w:rPr>
        <w:t>:</w:t>
      </w:r>
      <w:r>
        <w:rPr>
          <w:spacing w:val="-3"/>
          <w:sz w:val="24"/>
        </w:rPr>
        <w:t> </w:t>
      </w:r>
      <w:r>
        <w:rPr>
          <w:sz w:val="24"/>
        </w:rPr>
        <w:t>Campagnes publicitaires pour «no 5» faisant intervenir des modèles, des actrices et des acteurs célèbres.</w:t>
      </w:r>
    </w:p>
    <w:p>
      <w:pPr>
        <w:pStyle w:val="ListParagraph"/>
        <w:numPr>
          <w:ilvl w:val="0"/>
          <w:numId w:val="3"/>
        </w:numPr>
        <w:tabs>
          <w:tab w:pos="1017" w:val="left" w:leader="none"/>
        </w:tabs>
        <w:spacing w:line="240" w:lineRule="auto" w:before="244" w:after="0"/>
        <w:ind w:left="1017" w:right="0" w:hanging="427"/>
        <w:jc w:val="left"/>
        <w:rPr>
          <w:sz w:val="24"/>
        </w:rPr>
      </w:pPr>
      <w:r>
        <w:rPr>
          <w:sz w:val="24"/>
          <w:u w:val="single"/>
        </w:rPr>
        <w:t>Annexe</w:t>
      </w:r>
      <w:r>
        <w:rPr>
          <w:spacing w:val="-5"/>
          <w:sz w:val="24"/>
          <w:u w:val="single"/>
        </w:rPr>
        <w:t> </w:t>
      </w:r>
      <w:r>
        <w:rPr>
          <w:sz w:val="24"/>
          <w:u w:val="single"/>
        </w:rPr>
        <w:t>5</w:t>
      </w:r>
      <w:r>
        <w:rPr>
          <w:sz w:val="24"/>
        </w:rPr>
        <w:t>:</w:t>
      </w:r>
      <w:r>
        <w:rPr>
          <w:spacing w:val="-2"/>
          <w:sz w:val="24"/>
        </w:rPr>
        <w:t> </w:t>
      </w:r>
      <w:r>
        <w:rPr>
          <w:sz w:val="24"/>
        </w:rPr>
        <w:t>Presse</w:t>
      </w:r>
      <w:r>
        <w:rPr>
          <w:spacing w:val="-2"/>
          <w:sz w:val="24"/>
        </w:rPr>
        <w:t> </w:t>
      </w:r>
      <w:r>
        <w:rPr>
          <w:sz w:val="24"/>
        </w:rPr>
        <w:t>nationale</w:t>
      </w:r>
      <w:r>
        <w:rPr>
          <w:spacing w:val="-2"/>
          <w:sz w:val="24"/>
        </w:rPr>
        <w:t> </w:t>
      </w:r>
      <w:r>
        <w:rPr>
          <w:sz w:val="24"/>
        </w:rPr>
        <w:t>française</w:t>
      </w:r>
      <w:r>
        <w:rPr>
          <w:spacing w:val="-2"/>
          <w:sz w:val="24"/>
        </w:rPr>
        <w:t> </w:t>
      </w:r>
      <w:r>
        <w:rPr>
          <w:sz w:val="24"/>
        </w:rPr>
        <w:t>sur</w:t>
      </w:r>
      <w:r>
        <w:rPr>
          <w:spacing w:val="-3"/>
          <w:sz w:val="24"/>
        </w:rPr>
        <w:t> </w:t>
      </w:r>
      <w:r>
        <w:rPr>
          <w:sz w:val="24"/>
        </w:rPr>
        <w:t>le</w:t>
      </w:r>
      <w:r>
        <w:rPr>
          <w:spacing w:val="-2"/>
          <w:sz w:val="24"/>
        </w:rPr>
        <w:t> </w:t>
      </w:r>
      <w:r>
        <w:rPr>
          <w:sz w:val="24"/>
        </w:rPr>
        <w:t>parfum</w:t>
      </w:r>
      <w:r>
        <w:rPr>
          <w:spacing w:val="5"/>
          <w:sz w:val="24"/>
        </w:rPr>
        <w:t> </w:t>
      </w:r>
      <w:r>
        <w:rPr>
          <w:sz w:val="24"/>
        </w:rPr>
        <w:t>«No</w:t>
      </w:r>
      <w:r>
        <w:rPr>
          <w:spacing w:val="-1"/>
          <w:sz w:val="24"/>
        </w:rPr>
        <w:t> </w:t>
      </w:r>
      <w:r>
        <w:rPr>
          <w:spacing w:val="-5"/>
          <w:sz w:val="24"/>
        </w:rPr>
        <w:t>5».</w:t>
      </w:r>
    </w:p>
    <w:p>
      <w:pPr>
        <w:pStyle w:val="ListParagraph"/>
        <w:numPr>
          <w:ilvl w:val="0"/>
          <w:numId w:val="3"/>
        </w:numPr>
        <w:tabs>
          <w:tab w:pos="1015" w:val="left" w:leader="none"/>
          <w:tab w:pos="1017" w:val="left" w:leader="none"/>
        </w:tabs>
        <w:spacing w:line="240" w:lineRule="auto" w:before="236" w:after="0"/>
        <w:ind w:left="1017" w:right="168" w:hanging="428"/>
        <w:jc w:val="both"/>
        <w:rPr>
          <w:sz w:val="24"/>
        </w:rPr>
      </w:pPr>
      <w:r>
        <w:rPr>
          <w:sz w:val="24"/>
          <w:u w:val="single"/>
        </w:rPr>
        <w:t>Annexe 6</w:t>
      </w:r>
      <w:r>
        <w:rPr>
          <w:sz w:val="24"/>
        </w:rPr>
        <w:t>:</w:t>
      </w:r>
      <w:r>
        <w:rPr>
          <w:spacing w:val="-2"/>
          <w:sz w:val="24"/>
        </w:rPr>
        <w:t> </w:t>
      </w:r>
      <w:r>
        <w:rPr>
          <w:sz w:val="24"/>
        </w:rPr>
        <w:t>Campagnes extérieures pour «no 5» présentant la célèbre actrice Marion Cotillard en France en 2021 et 2022.</w:t>
      </w:r>
    </w:p>
    <w:p>
      <w:pPr>
        <w:pStyle w:val="ListParagraph"/>
        <w:numPr>
          <w:ilvl w:val="0"/>
          <w:numId w:val="3"/>
        </w:numPr>
        <w:tabs>
          <w:tab w:pos="1017" w:val="left" w:leader="none"/>
        </w:tabs>
        <w:spacing w:line="240" w:lineRule="auto" w:before="242" w:after="0"/>
        <w:ind w:left="1017" w:right="0" w:hanging="427"/>
        <w:jc w:val="left"/>
        <w:rPr>
          <w:sz w:val="24"/>
        </w:rPr>
      </w:pPr>
      <w:r>
        <w:rPr>
          <w:sz w:val="24"/>
          <w:u w:val="single"/>
        </w:rPr>
        <w:t>Annexe</w:t>
      </w:r>
      <w:r>
        <w:rPr>
          <w:spacing w:val="-5"/>
          <w:sz w:val="24"/>
          <w:u w:val="single"/>
        </w:rPr>
        <w:t> </w:t>
      </w:r>
      <w:r>
        <w:rPr>
          <w:sz w:val="24"/>
          <w:u w:val="single"/>
        </w:rPr>
        <w:t>7</w:t>
      </w:r>
      <w:r>
        <w:rPr>
          <w:sz w:val="24"/>
        </w:rPr>
        <w:t>:</w:t>
      </w:r>
      <w:r>
        <w:rPr>
          <w:spacing w:val="-2"/>
          <w:sz w:val="24"/>
        </w:rPr>
        <w:t> </w:t>
      </w:r>
      <w:r>
        <w:rPr>
          <w:sz w:val="24"/>
        </w:rPr>
        <w:t>Presse</w:t>
      </w:r>
      <w:r>
        <w:rPr>
          <w:spacing w:val="-2"/>
          <w:sz w:val="24"/>
        </w:rPr>
        <w:t> </w:t>
      </w:r>
      <w:r>
        <w:rPr>
          <w:sz w:val="24"/>
        </w:rPr>
        <w:t>nationale</w:t>
      </w:r>
      <w:r>
        <w:rPr>
          <w:spacing w:val="-2"/>
          <w:sz w:val="24"/>
        </w:rPr>
        <w:t> </w:t>
      </w:r>
      <w:r>
        <w:rPr>
          <w:sz w:val="24"/>
        </w:rPr>
        <w:t>française</w:t>
      </w:r>
      <w:r>
        <w:rPr>
          <w:spacing w:val="-2"/>
          <w:sz w:val="24"/>
        </w:rPr>
        <w:t> </w:t>
      </w:r>
      <w:r>
        <w:rPr>
          <w:sz w:val="24"/>
        </w:rPr>
        <w:t>sur</w:t>
      </w:r>
      <w:r>
        <w:rPr>
          <w:spacing w:val="-3"/>
          <w:sz w:val="24"/>
        </w:rPr>
        <w:t> </w:t>
      </w:r>
      <w:r>
        <w:rPr>
          <w:sz w:val="24"/>
        </w:rPr>
        <w:t>le</w:t>
      </w:r>
      <w:r>
        <w:rPr>
          <w:spacing w:val="-2"/>
          <w:sz w:val="24"/>
        </w:rPr>
        <w:t> </w:t>
      </w:r>
      <w:r>
        <w:rPr>
          <w:sz w:val="24"/>
        </w:rPr>
        <w:t>parfum</w:t>
      </w:r>
      <w:r>
        <w:rPr>
          <w:spacing w:val="5"/>
          <w:sz w:val="24"/>
        </w:rPr>
        <w:t> </w:t>
      </w:r>
      <w:r>
        <w:rPr>
          <w:sz w:val="24"/>
        </w:rPr>
        <w:t>«No</w:t>
      </w:r>
      <w:r>
        <w:rPr>
          <w:spacing w:val="-1"/>
          <w:sz w:val="24"/>
        </w:rPr>
        <w:t> </w:t>
      </w:r>
      <w:r>
        <w:rPr>
          <w:spacing w:val="-5"/>
          <w:sz w:val="24"/>
        </w:rPr>
        <w:t>5».</w:t>
      </w:r>
    </w:p>
    <w:p>
      <w:pPr>
        <w:pStyle w:val="ListParagraph"/>
        <w:numPr>
          <w:ilvl w:val="0"/>
          <w:numId w:val="3"/>
        </w:numPr>
        <w:tabs>
          <w:tab w:pos="1015" w:val="left" w:leader="none"/>
          <w:tab w:pos="1017" w:val="left" w:leader="none"/>
        </w:tabs>
        <w:spacing w:line="240" w:lineRule="auto" w:before="236" w:after="0"/>
        <w:ind w:left="1017" w:right="164" w:hanging="428"/>
        <w:jc w:val="both"/>
        <w:rPr>
          <w:sz w:val="24"/>
        </w:rPr>
      </w:pPr>
      <w:r>
        <w:rPr>
          <w:sz w:val="24"/>
          <w:u w:val="single"/>
        </w:rPr>
        <w:t>Annexe</w:t>
      </w:r>
      <w:r>
        <w:rPr>
          <w:spacing w:val="-15"/>
          <w:sz w:val="24"/>
          <w:u w:val="single"/>
        </w:rPr>
        <w:t> </w:t>
      </w:r>
      <w:r>
        <w:rPr>
          <w:sz w:val="24"/>
          <w:u w:val="single"/>
        </w:rPr>
        <w:t>8</w:t>
      </w:r>
      <w:r>
        <w:rPr>
          <w:sz w:val="24"/>
        </w:rPr>
        <w:t>:</w:t>
      </w:r>
      <w:r>
        <w:rPr>
          <w:spacing w:val="-15"/>
          <w:sz w:val="24"/>
        </w:rPr>
        <w:t> </w:t>
      </w:r>
      <w:r>
        <w:rPr>
          <w:sz w:val="24"/>
        </w:rPr>
        <w:t>Presse</w:t>
      </w:r>
      <w:r>
        <w:rPr>
          <w:spacing w:val="-15"/>
          <w:sz w:val="24"/>
        </w:rPr>
        <w:t> </w:t>
      </w:r>
      <w:r>
        <w:rPr>
          <w:sz w:val="24"/>
        </w:rPr>
        <w:t>nationale</w:t>
      </w:r>
      <w:r>
        <w:rPr>
          <w:spacing w:val="-15"/>
          <w:sz w:val="24"/>
        </w:rPr>
        <w:t> </w:t>
      </w:r>
      <w:r>
        <w:rPr>
          <w:sz w:val="24"/>
        </w:rPr>
        <w:t>française</w:t>
      </w:r>
      <w:r>
        <w:rPr>
          <w:spacing w:val="-15"/>
          <w:sz w:val="24"/>
        </w:rPr>
        <w:t> </w:t>
      </w:r>
      <w:r>
        <w:rPr>
          <w:sz w:val="24"/>
        </w:rPr>
        <w:t>à</w:t>
      </w:r>
      <w:r>
        <w:rPr>
          <w:spacing w:val="-15"/>
          <w:sz w:val="24"/>
        </w:rPr>
        <w:t> </w:t>
      </w:r>
      <w:r>
        <w:rPr>
          <w:sz w:val="24"/>
        </w:rPr>
        <w:t>l’occasion</w:t>
      </w:r>
      <w:r>
        <w:rPr>
          <w:spacing w:val="-15"/>
          <w:sz w:val="24"/>
        </w:rPr>
        <w:t> </w:t>
      </w:r>
      <w:r>
        <w:rPr>
          <w:sz w:val="24"/>
        </w:rPr>
        <w:t>du</w:t>
      </w:r>
      <w:r>
        <w:rPr>
          <w:spacing w:val="-15"/>
          <w:sz w:val="24"/>
        </w:rPr>
        <w:t> </w:t>
      </w:r>
      <w:r>
        <w:rPr>
          <w:sz w:val="24"/>
        </w:rPr>
        <w:t>100e</w:t>
      </w:r>
      <w:r>
        <w:rPr>
          <w:spacing w:val="-15"/>
          <w:sz w:val="24"/>
        </w:rPr>
        <w:t> </w:t>
      </w:r>
      <w:r>
        <w:rPr>
          <w:sz w:val="24"/>
        </w:rPr>
        <w:t>anniversaire</w:t>
      </w:r>
      <w:r>
        <w:rPr>
          <w:spacing w:val="-15"/>
          <w:sz w:val="24"/>
        </w:rPr>
        <w:t> </w:t>
      </w:r>
      <w:r>
        <w:rPr>
          <w:sz w:val="24"/>
        </w:rPr>
        <w:t>du</w:t>
      </w:r>
      <w:r>
        <w:rPr>
          <w:spacing w:val="-15"/>
          <w:sz w:val="24"/>
        </w:rPr>
        <w:t> </w:t>
      </w:r>
      <w:r>
        <w:rPr>
          <w:sz w:val="24"/>
        </w:rPr>
        <w:t>parfum</w:t>
      </w:r>
      <w:r>
        <w:rPr>
          <w:spacing w:val="-15"/>
          <w:sz w:val="24"/>
        </w:rPr>
        <w:t> </w:t>
      </w:r>
      <w:r>
        <w:rPr>
          <w:sz w:val="24"/>
        </w:rPr>
        <w:t>«No 5» en 2021.</w:t>
      </w:r>
    </w:p>
    <w:p>
      <w:pPr>
        <w:pStyle w:val="ListParagraph"/>
        <w:numPr>
          <w:ilvl w:val="0"/>
          <w:numId w:val="3"/>
        </w:numPr>
        <w:tabs>
          <w:tab w:pos="1017" w:val="left" w:leader="none"/>
        </w:tabs>
        <w:spacing w:line="240" w:lineRule="auto" w:before="242" w:after="0"/>
        <w:ind w:left="1017" w:right="0" w:hanging="427"/>
        <w:jc w:val="left"/>
        <w:rPr>
          <w:sz w:val="24"/>
        </w:rPr>
      </w:pPr>
      <w:r>
        <w:rPr>
          <w:sz w:val="24"/>
          <w:u w:val="single"/>
        </w:rPr>
        <w:t>Annexe</w:t>
      </w:r>
      <w:r>
        <w:rPr>
          <w:spacing w:val="-3"/>
          <w:sz w:val="24"/>
          <w:u w:val="single"/>
        </w:rPr>
        <w:t> </w:t>
      </w:r>
      <w:r>
        <w:rPr>
          <w:sz w:val="24"/>
          <w:u w:val="single"/>
        </w:rPr>
        <w:t>9</w:t>
      </w:r>
      <w:r>
        <w:rPr>
          <w:sz w:val="24"/>
        </w:rPr>
        <w:t>:</w:t>
      </w:r>
      <w:r>
        <w:rPr>
          <w:spacing w:val="-1"/>
          <w:sz w:val="24"/>
        </w:rPr>
        <w:t> </w:t>
      </w:r>
      <w:r>
        <w:rPr>
          <w:sz w:val="24"/>
        </w:rPr>
        <w:t>Collecte</w:t>
      </w:r>
      <w:r>
        <w:rPr>
          <w:spacing w:val="-1"/>
          <w:sz w:val="24"/>
        </w:rPr>
        <w:t> </w:t>
      </w:r>
      <w:r>
        <w:rPr>
          <w:sz w:val="24"/>
        </w:rPr>
        <w:t>de</w:t>
      </w:r>
      <w:r>
        <w:rPr>
          <w:spacing w:val="-3"/>
          <w:sz w:val="24"/>
        </w:rPr>
        <w:t> </w:t>
      </w:r>
      <w:r>
        <w:rPr>
          <w:sz w:val="24"/>
        </w:rPr>
        <w:t>timbres</w:t>
      </w:r>
      <w:r>
        <w:rPr>
          <w:spacing w:val="-1"/>
          <w:sz w:val="24"/>
        </w:rPr>
        <w:t> </w:t>
      </w:r>
      <w:r>
        <w:rPr>
          <w:sz w:val="24"/>
        </w:rPr>
        <w:t>exclusifs</w:t>
      </w:r>
      <w:r>
        <w:rPr>
          <w:spacing w:val="-1"/>
          <w:sz w:val="24"/>
        </w:rPr>
        <w:t> </w:t>
      </w:r>
      <w:r>
        <w:rPr>
          <w:sz w:val="24"/>
        </w:rPr>
        <w:t>pour</w:t>
      </w:r>
      <w:r>
        <w:rPr>
          <w:spacing w:val="-3"/>
          <w:sz w:val="24"/>
        </w:rPr>
        <w:t> </w:t>
      </w:r>
      <w:r>
        <w:rPr>
          <w:sz w:val="24"/>
        </w:rPr>
        <w:t>le</w:t>
      </w:r>
      <w:r>
        <w:rPr>
          <w:spacing w:val="-1"/>
          <w:sz w:val="24"/>
        </w:rPr>
        <w:t> </w:t>
      </w:r>
      <w:r>
        <w:rPr>
          <w:sz w:val="24"/>
        </w:rPr>
        <w:t>100e</w:t>
      </w:r>
      <w:r>
        <w:rPr>
          <w:spacing w:val="-3"/>
          <w:sz w:val="24"/>
        </w:rPr>
        <w:t> </w:t>
      </w:r>
      <w:r>
        <w:rPr>
          <w:sz w:val="24"/>
        </w:rPr>
        <w:t>anniversaire</w:t>
      </w:r>
      <w:r>
        <w:rPr>
          <w:spacing w:val="-3"/>
          <w:sz w:val="24"/>
        </w:rPr>
        <w:t> </w:t>
      </w:r>
      <w:r>
        <w:rPr>
          <w:sz w:val="24"/>
        </w:rPr>
        <w:t>du</w:t>
      </w:r>
      <w:r>
        <w:rPr>
          <w:spacing w:val="3"/>
          <w:sz w:val="24"/>
        </w:rPr>
        <w:t> </w:t>
      </w:r>
      <w:r>
        <w:rPr>
          <w:sz w:val="24"/>
        </w:rPr>
        <w:t>«No</w:t>
      </w:r>
      <w:r>
        <w:rPr>
          <w:spacing w:val="1"/>
          <w:sz w:val="24"/>
        </w:rPr>
        <w:t> </w:t>
      </w:r>
      <w:r>
        <w:rPr>
          <w:spacing w:val="-5"/>
          <w:sz w:val="24"/>
        </w:rPr>
        <w:t>5».</w:t>
      </w:r>
    </w:p>
    <w:p>
      <w:pPr>
        <w:pStyle w:val="ListParagraph"/>
        <w:numPr>
          <w:ilvl w:val="0"/>
          <w:numId w:val="3"/>
        </w:numPr>
        <w:tabs>
          <w:tab w:pos="1017" w:val="left" w:leader="none"/>
        </w:tabs>
        <w:spacing w:line="240" w:lineRule="auto" w:before="238" w:after="0"/>
        <w:ind w:left="1017" w:right="0" w:hanging="427"/>
        <w:jc w:val="left"/>
        <w:rPr>
          <w:sz w:val="24"/>
        </w:rPr>
      </w:pPr>
      <w:r>
        <w:rPr>
          <w:sz w:val="24"/>
          <w:u w:val="single"/>
        </w:rPr>
        <w:t>Annexe</w:t>
      </w:r>
      <w:r>
        <w:rPr>
          <w:spacing w:val="-2"/>
          <w:sz w:val="24"/>
          <w:u w:val="single"/>
        </w:rPr>
        <w:t> </w:t>
      </w:r>
      <w:r>
        <w:rPr>
          <w:sz w:val="24"/>
          <w:u w:val="single"/>
        </w:rPr>
        <w:t>10</w:t>
      </w:r>
      <w:r>
        <w:rPr>
          <w:sz w:val="24"/>
        </w:rPr>
        <w:t>: Expositions</w:t>
      </w:r>
      <w:r>
        <w:rPr>
          <w:spacing w:val="-3"/>
          <w:sz w:val="24"/>
        </w:rPr>
        <w:t> </w:t>
      </w:r>
      <w:r>
        <w:rPr>
          <w:sz w:val="24"/>
        </w:rPr>
        <w:t>en</w:t>
      </w:r>
      <w:r>
        <w:rPr>
          <w:spacing w:val="-1"/>
          <w:sz w:val="24"/>
        </w:rPr>
        <w:t> </w:t>
      </w:r>
      <w:r>
        <w:rPr>
          <w:sz w:val="24"/>
        </w:rPr>
        <w:t>musées à</w:t>
      </w:r>
      <w:r>
        <w:rPr>
          <w:spacing w:val="-1"/>
          <w:sz w:val="24"/>
        </w:rPr>
        <w:t> </w:t>
      </w:r>
      <w:r>
        <w:rPr>
          <w:sz w:val="24"/>
        </w:rPr>
        <w:t>Paris</w:t>
      </w:r>
      <w:r>
        <w:rPr>
          <w:spacing w:val="-1"/>
          <w:sz w:val="24"/>
        </w:rPr>
        <w:t> </w:t>
      </w:r>
      <w:r>
        <w:rPr>
          <w:sz w:val="24"/>
        </w:rPr>
        <w:t>en 2013 et </w:t>
      </w:r>
      <w:r>
        <w:rPr>
          <w:spacing w:val="-2"/>
          <w:sz w:val="24"/>
        </w:rPr>
        <w:t>2022/2023.</w:t>
      </w:r>
    </w:p>
    <w:p>
      <w:pPr>
        <w:pStyle w:val="ListParagraph"/>
        <w:numPr>
          <w:ilvl w:val="0"/>
          <w:numId w:val="3"/>
        </w:numPr>
        <w:tabs>
          <w:tab w:pos="1017" w:val="left" w:leader="none"/>
        </w:tabs>
        <w:spacing w:line="240" w:lineRule="auto" w:before="242" w:after="0"/>
        <w:ind w:left="1017" w:right="0" w:hanging="427"/>
        <w:jc w:val="left"/>
        <w:rPr>
          <w:sz w:val="24"/>
        </w:rPr>
      </w:pPr>
      <w:r>
        <w:rPr>
          <w:sz w:val="24"/>
          <w:u w:val="single"/>
        </w:rPr>
        <w:t>Annexe</w:t>
      </w:r>
      <w:r>
        <w:rPr>
          <w:spacing w:val="-5"/>
          <w:sz w:val="24"/>
          <w:u w:val="single"/>
        </w:rPr>
        <w:t> </w:t>
      </w:r>
      <w:r>
        <w:rPr>
          <w:sz w:val="24"/>
          <w:u w:val="single"/>
        </w:rPr>
        <w:t>11</w:t>
      </w:r>
      <w:r>
        <w:rPr>
          <w:sz w:val="24"/>
        </w:rPr>
        <w:t>: Livres</w:t>
      </w:r>
      <w:r>
        <w:rPr>
          <w:spacing w:val="-2"/>
          <w:sz w:val="24"/>
        </w:rPr>
        <w:t> </w:t>
      </w:r>
      <w:r>
        <w:rPr>
          <w:sz w:val="24"/>
        </w:rPr>
        <w:t>publiés</w:t>
      </w:r>
      <w:r>
        <w:rPr>
          <w:spacing w:val="-2"/>
          <w:sz w:val="24"/>
        </w:rPr>
        <w:t> </w:t>
      </w:r>
      <w:r>
        <w:rPr>
          <w:sz w:val="24"/>
        </w:rPr>
        <w:t>en</w:t>
      </w:r>
      <w:r>
        <w:rPr>
          <w:spacing w:val="-1"/>
          <w:sz w:val="24"/>
        </w:rPr>
        <w:t> </w:t>
      </w:r>
      <w:r>
        <w:rPr>
          <w:sz w:val="24"/>
        </w:rPr>
        <w:t>France</w:t>
      </w:r>
      <w:r>
        <w:rPr>
          <w:spacing w:val="-1"/>
          <w:sz w:val="24"/>
        </w:rPr>
        <w:t> </w:t>
      </w:r>
      <w:r>
        <w:rPr>
          <w:sz w:val="24"/>
        </w:rPr>
        <w:t>et</w:t>
      </w:r>
      <w:r>
        <w:rPr>
          <w:spacing w:val="-2"/>
          <w:sz w:val="24"/>
        </w:rPr>
        <w:t> </w:t>
      </w:r>
      <w:r>
        <w:rPr>
          <w:sz w:val="24"/>
        </w:rPr>
        <w:t>dédiés</w:t>
      </w:r>
      <w:r>
        <w:rPr>
          <w:spacing w:val="-2"/>
          <w:sz w:val="24"/>
        </w:rPr>
        <w:t> </w:t>
      </w:r>
      <w:r>
        <w:rPr>
          <w:sz w:val="24"/>
        </w:rPr>
        <w:t>au «No</w:t>
      </w:r>
      <w:r>
        <w:rPr>
          <w:spacing w:val="-1"/>
          <w:sz w:val="24"/>
        </w:rPr>
        <w:t> </w:t>
      </w:r>
      <w:r>
        <w:rPr>
          <w:spacing w:val="-5"/>
          <w:sz w:val="24"/>
        </w:rPr>
        <w:t>5».</w:t>
      </w:r>
    </w:p>
    <w:p>
      <w:pPr>
        <w:pStyle w:val="ListParagraph"/>
        <w:numPr>
          <w:ilvl w:val="0"/>
          <w:numId w:val="3"/>
        </w:numPr>
        <w:tabs>
          <w:tab w:pos="1017" w:val="left" w:leader="none"/>
        </w:tabs>
        <w:spacing w:line="240" w:lineRule="auto" w:before="238" w:after="0"/>
        <w:ind w:left="1017" w:right="0" w:hanging="427"/>
        <w:jc w:val="left"/>
        <w:rPr>
          <w:sz w:val="24"/>
        </w:rPr>
      </w:pPr>
      <w:r>
        <w:rPr>
          <w:sz w:val="24"/>
          <w:u w:val="single"/>
        </w:rPr>
        <w:t>Annexe</w:t>
      </w:r>
      <w:r>
        <w:rPr>
          <w:spacing w:val="-4"/>
          <w:sz w:val="24"/>
          <w:u w:val="single"/>
        </w:rPr>
        <w:t> </w:t>
      </w:r>
      <w:r>
        <w:rPr>
          <w:sz w:val="24"/>
          <w:u w:val="single"/>
        </w:rPr>
        <w:t>12</w:t>
      </w:r>
      <w:r>
        <w:rPr>
          <w:sz w:val="24"/>
        </w:rPr>
        <w:t>:</w:t>
      </w:r>
      <w:r>
        <w:rPr>
          <w:spacing w:val="-1"/>
          <w:sz w:val="24"/>
        </w:rPr>
        <w:t> </w:t>
      </w:r>
      <w:r>
        <w:rPr>
          <w:sz w:val="24"/>
        </w:rPr>
        <w:t>Classements de</w:t>
      </w:r>
      <w:r>
        <w:rPr>
          <w:spacing w:val="-2"/>
          <w:sz w:val="24"/>
        </w:rPr>
        <w:t> </w:t>
      </w:r>
      <w:r>
        <w:rPr>
          <w:sz w:val="24"/>
        </w:rPr>
        <w:t>parfums</w:t>
      </w:r>
      <w:r>
        <w:rPr>
          <w:spacing w:val="-1"/>
          <w:sz w:val="24"/>
        </w:rPr>
        <w:t> </w:t>
      </w:r>
      <w:r>
        <w:rPr>
          <w:sz w:val="24"/>
        </w:rPr>
        <w:t>publiés par</w:t>
      </w:r>
      <w:r>
        <w:rPr>
          <w:spacing w:val="-1"/>
          <w:sz w:val="24"/>
        </w:rPr>
        <w:t> </w:t>
      </w:r>
      <w:r>
        <w:rPr>
          <w:sz w:val="24"/>
        </w:rPr>
        <w:t>la</w:t>
      </w:r>
      <w:r>
        <w:rPr>
          <w:spacing w:val="-1"/>
          <w:sz w:val="24"/>
        </w:rPr>
        <w:t> </w:t>
      </w:r>
      <w:r>
        <w:rPr>
          <w:sz w:val="24"/>
        </w:rPr>
        <w:t>presse </w:t>
      </w:r>
      <w:r>
        <w:rPr>
          <w:spacing w:val="-2"/>
          <w:sz w:val="24"/>
        </w:rPr>
        <w:t>française.</w:t>
      </w:r>
    </w:p>
    <w:p>
      <w:pPr>
        <w:pStyle w:val="ListParagraph"/>
        <w:numPr>
          <w:ilvl w:val="0"/>
          <w:numId w:val="3"/>
        </w:numPr>
        <w:tabs>
          <w:tab w:pos="1015" w:val="left" w:leader="none"/>
          <w:tab w:pos="1017" w:val="left" w:leader="none"/>
        </w:tabs>
        <w:spacing w:line="240" w:lineRule="auto" w:before="237" w:after="0"/>
        <w:ind w:left="1017" w:right="163" w:hanging="428"/>
        <w:jc w:val="both"/>
        <w:rPr>
          <w:sz w:val="24"/>
        </w:rPr>
      </w:pPr>
      <w:r>
        <w:rPr>
          <w:sz w:val="24"/>
          <w:u w:val="single"/>
        </w:rPr>
        <w:t>Annexe 13</w:t>
      </w:r>
      <w:r>
        <w:rPr>
          <w:sz w:val="24"/>
        </w:rPr>
        <w:t>:</w:t>
      </w:r>
      <w:r>
        <w:rPr>
          <w:spacing w:val="-2"/>
          <w:sz w:val="24"/>
        </w:rPr>
        <w:t> </w:t>
      </w:r>
      <w:r>
        <w:rPr>
          <w:sz w:val="24"/>
        </w:rPr>
        <w:t>Preuve de l’usage de la marque «no 5» pour des produits cosmétiques autres que des parfums;</w:t>
      </w:r>
    </w:p>
    <w:p>
      <w:pPr>
        <w:pStyle w:val="ListParagraph"/>
        <w:numPr>
          <w:ilvl w:val="0"/>
          <w:numId w:val="3"/>
        </w:numPr>
        <w:tabs>
          <w:tab w:pos="1015" w:val="left" w:leader="none"/>
          <w:tab w:pos="1017" w:val="left" w:leader="none"/>
        </w:tabs>
        <w:spacing w:line="240" w:lineRule="auto" w:before="239" w:after="0"/>
        <w:ind w:left="1017" w:right="160" w:hanging="428"/>
        <w:jc w:val="both"/>
        <w:rPr>
          <w:sz w:val="24"/>
        </w:rPr>
      </w:pPr>
      <w:r>
        <w:rPr>
          <w:sz w:val="24"/>
          <w:u w:val="single"/>
        </w:rPr>
        <w:t>Annexe</w:t>
      </w:r>
      <w:r>
        <w:rPr>
          <w:spacing w:val="-9"/>
          <w:sz w:val="24"/>
          <w:u w:val="single"/>
        </w:rPr>
        <w:t> </w:t>
      </w:r>
      <w:r>
        <w:rPr>
          <w:sz w:val="24"/>
          <w:u w:val="single"/>
        </w:rPr>
        <w:t>14</w:t>
      </w:r>
      <w:r>
        <w:rPr>
          <w:sz w:val="24"/>
        </w:rPr>
        <w:t>:</w:t>
      </w:r>
      <w:r>
        <w:rPr>
          <w:spacing w:val="-4"/>
          <w:sz w:val="24"/>
        </w:rPr>
        <w:t> </w:t>
      </w:r>
      <w:r>
        <w:rPr>
          <w:sz w:val="24"/>
        </w:rPr>
        <w:t>Campagnes</w:t>
      </w:r>
      <w:r>
        <w:rPr>
          <w:spacing w:val="-6"/>
          <w:sz w:val="24"/>
        </w:rPr>
        <w:t> </w:t>
      </w:r>
      <w:r>
        <w:rPr>
          <w:sz w:val="24"/>
        </w:rPr>
        <w:t>publicitaires</w:t>
      </w:r>
      <w:r>
        <w:rPr>
          <w:spacing w:val="-8"/>
          <w:sz w:val="24"/>
        </w:rPr>
        <w:t> </w:t>
      </w:r>
      <w:r>
        <w:rPr>
          <w:sz w:val="24"/>
        </w:rPr>
        <w:t>en</w:t>
      </w:r>
      <w:r>
        <w:rPr>
          <w:spacing w:val="-8"/>
          <w:sz w:val="24"/>
        </w:rPr>
        <w:t> </w:t>
      </w:r>
      <w:r>
        <w:rPr>
          <w:sz w:val="24"/>
        </w:rPr>
        <w:t>France</w:t>
      </w:r>
      <w:r>
        <w:rPr>
          <w:spacing w:val="-9"/>
          <w:sz w:val="24"/>
        </w:rPr>
        <w:t> </w:t>
      </w:r>
      <w:r>
        <w:rPr>
          <w:sz w:val="24"/>
        </w:rPr>
        <w:t>pour</w:t>
      </w:r>
      <w:r>
        <w:rPr>
          <w:spacing w:val="-9"/>
          <w:sz w:val="24"/>
        </w:rPr>
        <w:t> </w:t>
      </w:r>
      <w:r>
        <w:rPr>
          <w:sz w:val="24"/>
        </w:rPr>
        <w:t>une</w:t>
      </w:r>
      <w:r>
        <w:rPr>
          <w:spacing w:val="-9"/>
          <w:sz w:val="24"/>
        </w:rPr>
        <w:t> </w:t>
      </w:r>
      <w:r>
        <w:rPr>
          <w:sz w:val="24"/>
        </w:rPr>
        <w:t>nouvelle</w:t>
      </w:r>
      <w:r>
        <w:rPr>
          <w:spacing w:val="-9"/>
          <w:sz w:val="24"/>
        </w:rPr>
        <w:t> </w:t>
      </w:r>
      <w:r>
        <w:rPr>
          <w:sz w:val="24"/>
        </w:rPr>
        <w:t>gamme</w:t>
      </w:r>
      <w:r>
        <w:rPr>
          <w:spacing w:val="-9"/>
          <w:sz w:val="24"/>
        </w:rPr>
        <w:t> </w:t>
      </w:r>
      <w:r>
        <w:rPr>
          <w:sz w:val="24"/>
        </w:rPr>
        <w:t>de</w:t>
      </w:r>
      <w:r>
        <w:rPr>
          <w:spacing w:val="-9"/>
          <w:sz w:val="24"/>
        </w:rPr>
        <w:t> </w:t>
      </w:r>
      <w:r>
        <w:rPr>
          <w:sz w:val="24"/>
        </w:rPr>
        <w:t>produits cosmétiques lancées dans le cadre du «No 5» à l’occasion du 100e anniversaire du parfum «No 5».</w:t>
      </w:r>
    </w:p>
    <w:p>
      <w:pPr>
        <w:pStyle w:val="ListParagraph"/>
        <w:numPr>
          <w:ilvl w:val="0"/>
          <w:numId w:val="3"/>
        </w:numPr>
        <w:tabs>
          <w:tab w:pos="1015" w:val="left" w:leader="none"/>
          <w:tab w:pos="1017" w:val="left" w:leader="none"/>
        </w:tabs>
        <w:spacing w:line="240" w:lineRule="auto" w:before="239" w:after="0"/>
        <w:ind w:left="1017" w:right="166" w:hanging="428"/>
        <w:jc w:val="both"/>
        <w:rPr>
          <w:sz w:val="24"/>
        </w:rPr>
      </w:pPr>
      <w:r>
        <w:rPr>
          <w:sz w:val="24"/>
          <w:u w:val="single"/>
        </w:rPr>
        <w:t>Annexe 15</w:t>
      </w:r>
      <w:r>
        <w:rPr>
          <w:sz w:val="24"/>
        </w:rPr>
        <w:t>:</w:t>
      </w:r>
      <w:r>
        <w:rPr>
          <w:spacing w:val="-2"/>
          <w:sz w:val="24"/>
        </w:rPr>
        <w:t> </w:t>
      </w:r>
      <w:r>
        <w:rPr>
          <w:sz w:val="24"/>
        </w:rPr>
        <w:t>Campagne publicitaire 2014 montrant un modèle célèbre Gisele </w:t>
      </w:r>
      <w:r>
        <w:rPr>
          <w:spacing w:val="-2"/>
          <w:sz w:val="24"/>
        </w:rPr>
        <w:t>Bündchen.</w:t>
      </w:r>
    </w:p>
    <w:p>
      <w:pPr>
        <w:pStyle w:val="ListParagraph"/>
        <w:numPr>
          <w:ilvl w:val="0"/>
          <w:numId w:val="3"/>
        </w:numPr>
        <w:tabs>
          <w:tab w:pos="1017" w:val="left" w:leader="none"/>
        </w:tabs>
        <w:spacing w:line="240" w:lineRule="auto" w:before="241" w:after="0"/>
        <w:ind w:left="1017" w:right="0" w:hanging="427"/>
        <w:jc w:val="left"/>
        <w:rPr>
          <w:sz w:val="24"/>
        </w:rPr>
      </w:pPr>
      <w:r>
        <w:rPr>
          <w:sz w:val="24"/>
          <w:u w:val="single"/>
        </w:rPr>
        <w:t>Annexe</w:t>
      </w:r>
      <w:r>
        <w:rPr>
          <w:spacing w:val="-2"/>
          <w:sz w:val="24"/>
          <w:u w:val="single"/>
        </w:rPr>
        <w:t> </w:t>
      </w:r>
      <w:r>
        <w:rPr>
          <w:sz w:val="24"/>
          <w:u w:val="single"/>
        </w:rPr>
        <w:t>16</w:t>
      </w:r>
      <w:r>
        <w:rPr>
          <w:sz w:val="24"/>
        </w:rPr>
        <w:t>:</w:t>
      </w:r>
      <w:r>
        <w:rPr>
          <w:spacing w:val="-1"/>
          <w:sz w:val="24"/>
        </w:rPr>
        <w:t> </w:t>
      </w:r>
      <w:r>
        <w:rPr>
          <w:sz w:val="24"/>
        </w:rPr>
        <w:t>Presse nationale</w:t>
      </w:r>
      <w:r>
        <w:rPr>
          <w:spacing w:val="-1"/>
          <w:sz w:val="24"/>
        </w:rPr>
        <w:t> </w:t>
      </w:r>
      <w:r>
        <w:rPr>
          <w:sz w:val="24"/>
        </w:rPr>
        <w:t>française</w:t>
      </w:r>
      <w:r>
        <w:rPr>
          <w:spacing w:val="-1"/>
          <w:sz w:val="24"/>
        </w:rPr>
        <w:t> </w:t>
      </w:r>
      <w:r>
        <w:rPr>
          <w:sz w:val="24"/>
        </w:rPr>
        <w:t>mentionnant</w:t>
      </w:r>
      <w:r>
        <w:rPr>
          <w:spacing w:val="5"/>
          <w:sz w:val="24"/>
        </w:rPr>
        <w:t> </w:t>
      </w:r>
      <w:r>
        <w:rPr>
          <w:spacing w:val="-4"/>
          <w:sz w:val="24"/>
        </w:rPr>
        <w:t>«5».</w:t>
      </w:r>
    </w:p>
    <w:p>
      <w:pPr>
        <w:pStyle w:val="ListParagraph"/>
        <w:numPr>
          <w:ilvl w:val="0"/>
          <w:numId w:val="3"/>
        </w:numPr>
        <w:tabs>
          <w:tab w:pos="1017" w:val="left" w:leader="none"/>
        </w:tabs>
        <w:spacing w:line="240" w:lineRule="auto" w:before="241" w:after="0"/>
        <w:ind w:left="1017" w:right="0" w:hanging="427"/>
        <w:jc w:val="left"/>
        <w:rPr>
          <w:sz w:val="24"/>
        </w:rPr>
      </w:pPr>
      <w:r>
        <w:rPr>
          <w:sz w:val="24"/>
          <w:u w:val="single"/>
        </w:rPr>
        <w:t>Annexe</w:t>
      </w:r>
      <w:r>
        <w:rPr>
          <w:spacing w:val="-2"/>
          <w:sz w:val="24"/>
          <w:u w:val="single"/>
        </w:rPr>
        <w:t> </w:t>
      </w:r>
      <w:r>
        <w:rPr>
          <w:sz w:val="24"/>
          <w:u w:val="single"/>
        </w:rPr>
        <w:t>17</w:t>
      </w:r>
      <w:r>
        <w:rPr>
          <w:sz w:val="24"/>
        </w:rPr>
        <w:t>:</w:t>
      </w:r>
      <w:r>
        <w:rPr>
          <w:spacing w:val="-1"/>
          <w:sz w:val="24"/>
        </w:rPr>
        <w:t> </w:t>
      </w:r>
      <w:r>
        <w:rPr>
          <w:sz w:val="24"/>
        </w:rPr>
        <w:t>Exposition</w:t>
      </w:r>
      <w:r>
        <w:rPr>
          <w:spacing w:val="-1"/>
          <w:sz w:val="24"/>
        </w:rPr>
        <w:t> </w:t>
      </w:r>
      <w:r>
        <w:rPr>
          <w:sz w:val="24"/>
        </w:rPr>
        <w:t>organisée</w:t>
      </w:r>
      <w:r>
        <w:rPr>
          <w:spacing w:val="-1"/>
          <w:sz w:val="24"/>
        </w:rPr>
        <w:t> </w:t>
      </w:r>
      <w:r>
        <w:rPr>
          <w:sz w:val="24"/>
        </w:rPr>
        <w:t>en</w:t>
      </w:r>
      <w:r>
        <w:rPr>
          <w:spacing w:val="-1"/>
          <w:sz w:val="24"/>
        </w:rPr>
        <w:t> </w:t>
      </w:r>
      <w:r>
        <w:rPr>
          <w:sz w:val="24"/>
        </w:rPr>
        <w:t>2022</w:t>
      </w:r>
      <w:r>
        <w:rPr>
          <w:spacing w:val="-1"/>
          <w:sz w:val="24"/>
        </w:rPr>
        <w:t> </w:t>
      </w:r>
      <w:r>
        <w:rPr>
          <w:sz w:val="24"/>
        </w:rPr>
        <w:t>au</w:t>
      </w:r>
      <w:r>
        <w:rPr>
          <w:spacing w:val="-1"/>
          <w:sz w:val="24"/>
        </w:rPr>
        <w:t> </w:t>
      </w:r>
      <w:r>
        <w:rPr>
          <w:sz w:val="24"/>
        </w:rPr>
        <w:t>Grand</w:t>
      </w:r>
      <w:r>
        <w:rPr>
          <w:spacing w:val="-1"/>
          <w:sz w:val="24"/>
        </w:rPr>
        <w:t> </w:t>
      </w:r>
      <w:r>
        <w:rPr>
          <w:sz w:val="24"/>
        </w:rPr>
        <w:t>Palais</w:t>
      </w:r>
      <w:r>
        <w:rPr>
          <w:spacing w:val="-1"/>
          <w:sz w:val="24"/>
        </w:rPr>
        <w:t> </w:t>
      </w:r>
      <w:r>
        <w:rPr>
          <w:sz w:val="24"/>
        </w:rPr>
        <w:t>Ephmatière</w:t>
      </w:r>
      <w:r>
        <w:rPr>
          <w:spacing w:val="-2"/>
          <w:sz w:val="24"/>
        </w:rPr>
        <w:t> </w:t>
      </w:r>
      <w:r>
        <w:rPr>
          <w:sz w:val="24"/>
        </w:rPr>
        <w:t>à</w:t>
      </w:r>
      <w:r>
        <w:rPr>
          <w:spacing w:val="-1"/>
          <w:sz w:val="24"/>
        </w:rPr>
        <w:t> </w:t>
      </w:r>
      <w:r>
        <w:rPr>
          <w:spacing w:val="-2"/>
          <w:sz w:val="24"/>
        </w:rPr>
        <w:t>Paris.</w:t>
      </w:r>
    </w:p>
    <w:p>
      <w:pPr>
        <w:pStyle w:val="BodyText"/>
        <w:rPr>
          <w:sz w:val="18"/>
        </w:rPr>
      </w:pPr>
    </w:p>
    <w:p>
      <w:pPr>
        <w:pStyle w:val="BodyText"/>
        <w:rPr>
          <w:sz w:val="18"/>
        </w:rPr>
      </w:pPr>
    </w:p>
    <w:p>
      <w:pPr>
        <w:pStyle w:val="BodyText"/>
        <w:rPr>
          <w:sz w:val="18"/>
        </w:rPr>
      </w:pPr>
    </w:p>
    <w:p>
      <w:pPr>
        <w:pStyle w:val="BodyText"/>
        <w:spacing w:before="77"/>
        <w:rPr>
          <w:sz w:val="18"/>
        </w:rPr>
      </w:pPr>
    </w:p>
    <w:p>
      <w:pPr>
        <w:spacing w:before="1"/>
        <w:ind w:left="2737" w:right="2738" w:firstLine="0"/>
        <w:jc w:val="center"/>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p>
      <w:pPr>
        <w:spacing w:after="0"/>
        <w:jc w:val="center"/>
        <w:rPr>
          <w:sz w:val="18"/>
        </w:rPr>
        <w:sectPr>
          <w:pgSz w:w="11910" w:h="16840"/>
          <w:pgMar w:header="970" w:footer="0" w:top="1180" w:bottom="280" w:left="1275" w:right="1275"/>
        </w:sectPr>
      </w:pPr>
    </w:p>
    <w:p>
      <w:pPr>
        <w:pStyle w:val="ListParagraph"/>
        <w:numPr>
          <w:ilvl w:val="0"/>
          <w:numId w:val="3"/>
        </w:numPr>
        <w:tabs>
          <w:tab w:pos="1015" w:val="left" w:leader="none"/>
          <w:tab w:pos="1017" w:val="left" w:leader="none"/>
        </w:tabs>
        <w:spacing w:line="240" w:lineRule="auto" w:before="249" w:after="0"/>
        <w:ind w:left="1017" w:right="164" w:hanging="428"/>
        <w:jc w:val="both"/>
        <w:rPr>
          <w:sz w:val="24"/>
        </w:rPr>
      </w:pPr>
      <w:r>
        <w:rPr>
          <w:sz w:val="24"/>
        </w:rPr>
        <mc:AlternateContent>
          <mc:Choice Requires="wps">
            <w:drawing>
              <wp:anchor distT="0" distB="0" distL="0" distR="0" allowOverlap="1" layoutInCell="1" locked="0" behindDoc="0" simplePos="0" relativeHeight="15734784">
                <wp:simplePos x="0" y="0"/>
                <wp:positionH relativeFrom="page">
                  <wp:posOffset>270575</wp:posOffset>
                </wp:positionH>
                <wp:positionV relativeFrom="page">
                  <wp:posOffset>1114363</wp:posOffset>
                </wp:positionV>
                <wp:extent cx="146050" cy="921004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46050" cy="9210040"/>
                        </a:xfrm>
                        <a:prstGeom prst="rect">
                          <a:avLst/>
                        </a:prstGeom>
                      </wps:spPr>
                      <wps:txbx>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wps:txbx>
                      <wps:bodyPr wrap="square" lIns="0" tIns="0" rIns="0" bIns="0" rtlCol="0" vert="vert270">
                        <a:noAutofit/>
                      </wps:bodyPr>
                    </wps:wsp>
                  </a:graphicData>
                </a:graphic>
              </wp:anchor>
            </w:drawing>
          </mc:Choice>
          <mc:Fallback>
            <w:pict>
              <v:shape style="position:absolute;margin-left:21.305176pt;margin-top:87.745193pt;width:11.5pt;height:725.2pt;mso-position-horizontal-relative:page;mso-position-vertical-relative:page;z-index:15734784" type="#_x0000_t202" id="docshape12" filled="false" stroked="false">
                <v:textbox inset="0,0,0,0" style="layout-flow:vertical;mso-layout-flow-alt:bottom-to-top">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v:textbox>
                <w10:wrap type="none"/>
              </v:shape>
            </w:pict>
          </mc:Fallback>
        </mc:AlternateContent>
      </w:r>
      <w:r>
        <w:rPr>
          <w:sz w:val="24"/>
          <w:u w:val="single"/>
        </w:rPr>
        <w:t>Annexe 18</w:t>
      </w:r>
      <w:r>
        <w:rPr>
          <w:sz w:val="24"/>
        </w:rPr>
        <w:t>:</w:t>
      </w:r>
      <w:r>
        <w:rPr>
          <w:spacing w:val="-2"/>
          <w:sz w:val="24"/>
        </w:rPr>
        <w:t> </w:t>
      </w:r>
      <w:r>
        <w:rPr>
          <w:sz w:val="24"/>
        </w:rPr>
        <w:t>Des publicités pour du parfum «No 5» dans des journaux et magazines nationaux hebdomadaires en</w:t>
      </w:r>
      <w:r>
        <w:rPr>
          <w:i/>
          <w:sz w:val="24"/>
        </w:rPr>
        <w:t>France (Elle Décoration, F l’art de vivre du Figaro, Figaro Madame, Le Point, le magazine du Monde, Point de vue</w:t>
      </w:r>
      <w:r>
        <w:rPr>
          <w:sz w:val="24"/>
        </w:rPr>
        <w:t>).</w:t>
      </w:r>
    </w:p>
    <w:p>
      <w:pPr>
        <w:pStyle w:val="ListParagraph"/>
        <w:numPr>
          <w:ilvl w:val="0"/>
          <w:numId w:val="3"/>
        </w:numPr>
        <w:tabs>
          <w:tab w:pos="1017" w:val="left" w:leader="none"/>
        </w:tabs>
        <w:spacing w:line="240" w:lineRule="auto" w:before="241" w:after="0"/>
        <w:ind w:left="1017" w:right="0" w:hanging="427"/>
        <w:jc w:val="left"/>
        <w:rPr>
          <w:sz w:val="24"/>
        </w:rPr>
      </w:pPr>
      <w:r>
        <w:rPr>
          <w:sz w:val="24"/>
          <w:u w:val="single"/>
        </w:rPr>
        <w:t>Annexe</w:t>
      </w:r>
      <w:r>
        <w:rPr>
          <w:spacing w:val="-3"/>
          <w:sz w:val="24"/>
          <w:u w:val="single"/>
        </w:rPr>
        <w:t> </w:t>
      </w:r>
      <w:r>
        <w:rPr>
          <w:sz w:val="24"/>
          <w:u w:val="single"/>
        </w:rPr>
        <w:t>19</w:t>
      </w:r>
      <w:r>
        <w:rPr>
          <w:sz w:val="24"/>
        </w:rPr>
        <w:t>:</w:t>
      </w:r>
      <w:r>
        <w:rPr>
          <w:spacing w:val="-2"/>
          <w:sz w:val="24"/>
        </w:rPr>
        <w:t> </w:t>
      </w:r>
      <w:r>
        <w:rPr>
          <w:sz w:val="24"/>
        </w:rPr>
        <w:t>Extraits</w:t>
      </w:r>
      <w:r>
        <w:rPr>
          <w:spacing w:val="-2"/>
          <w:sz w:val="24"/>
        </w:rPr>
        <w:t> </w:t>
      </w:r>
      <w:r>
        <w:rPr>
          <w:sz w:val="24"/>
        </w:rPr>
        <w:t>du</w:t>
      </w:r>
      <w:r>
        <w:rPr>
          <w:spacing w:val="-1"/>
          <w:sz w:val="24"/>
        </w:rPr>
        <w:t> </w:t>
      </w:r>
      <w:r>
        <w:rPr>
          <w:sz w:val="24"/>
        </w:rPr>
        <w:t>compte</w:t>
      </w:r>
      <w:r>
        <w:rPr>
          <w:spacing w:val="-1"/>
          <w:sz w:val="24"/>
        </w:rPr>
        <w:t> </w:t>
      </w:r>
      <w:r>
        <w:rPr>
          <w:sz w:val="24"/>
        </w:rPr>
        <w:t>Instagram</w:t>
      </w:r>
      <w:r>
        <w:rPr>
          <w:spacing w:val="-2"/>
          <w:sz w:val="24"/>
        </w:rPr>
        <w:t> </w:t>
      </w:r>
      <w:r>
        <w:rPr>
          <w:sz w:val="24"/>
        </w:rPr>
        <w:t>de</w:t>
      </w:r>
      <w:r>
        <w:rPr>
          <w:spacing w:val="-1"/>
          <w:sz w:val="24"/>
        </w:rPr>
        <w:t> </w:t>
      </w:r>
      <w:r>
        <w:rPr>
          <w:spacing w:val="-2"/>
          <w:sz w:val="24"/>
        </w:rPr>
        <w:t>Chanel.</w:t>
      </w:r>
    </w:p>
    <w:p>
      <w:pPr>
        <w:pStyle w:val="ListParagraph"/>
        <w:numPr>
          <w:ilvl w:val="0"/>
          <w:numId w:val="3"/>
        </w:numPr>
        <w:tabs>
          <w:tab w:pos="1017" w:val="left" w:leader="none"/>
        </w:tabs>
        <w:spacing w:line="240" w:lineRule="auto" w:before="239" w:after="0"/>
        <w:ind w:left="1017" w:right="0" w:hanging="427"/>
        <w:jc w:val="left"/>
        <w:rPr>
          <w:sz w:val="24"/>
        </w:rPr>
      </w:pPr>
      <w:r>
        <w:rPr>
          <w:sz w:val="24"/>
          <w:u w:val="single"/>
        </w:rPr>
        <w:t>Annexe</w:t>
      </w:r>
      <w:r>
        <w:rPr>
          <w:spacing w:val="-2"/>
          <w:sz w:val="24"/>
          <w:u w:val="single"/>
        </w:rPr>
        <w:t> </w:t>
      </w:r>
      <w:r>
        <w:rPr>
          <w:sz w:val="24"/>
          <w:u w:val="single"/>
        </w:rPr>
        <w:t>20</w:t>
      </w:r>
      <w:r>
        <w:rPr>
          <w:sz w:val="24"/>
        </w:rPr>
        <w:t>: Exemples</w:t>
      </w:r>
      <w:r>
        <w:rPr>
          <w:spacing w:val="-1"/>
          <w:sz w:val="24"/>
        </w:rPr>
        <w:t> </w:t>
      </w:r>
      <w:r>
        <w:rPr>
          <w:sz w:val="24"/>
        </w:rPr>
        <w:t>de</w:t>
      </w:r>
      <w:r>
        <w:rPr>
          <w:spacing w:val="-1"/>
          <w:sz w:val="24"/>
        </w:rPr>
        <w:t> </w:t>
      </w:r>
      <w:r>
        <w:rPr>
          <w:sz w:val="24"/>
        </w:rPr>
        <w:t>l’utilisation du</w:t>
      </w:r>
      <w:r>
        <w:rPr>
          <w:spacing w:val="-1"/>
          <w:sz w:val="24"/>
        </w:rPr>
        <w:t> </w:t>
      </w:r>
      <w:r>
        <w:rPr>
          <w:sz w:val="24"/>
        </w:rPr>
        <w:t>nombre</w:t>
      </w:r>
      <w:r>
        <w:rPr>
          <w:spacing w:val="3"/>
          <w:sz w:val="24"/>
        </w:rPr>
        <w:t> </w:t>
      </w:r>
      <w:r>
        <w:rPr>
          <w:sz w:val="24"/>
        </w:rPr>
        <w:t>«5»</w:t>
      </w:r>
      <w:r>
        <w:rPr>
          <w:spacing w:val="-8"/>
          <w:sz w:val="24"/>
        </w:rPr>
        <w:t> </w:t>
      </w:r>
      <w:r>
        <w:rPr>
          <w:sz w:val="24"/>
        </w:rPr>
        <w:t>par CHANEL</w:t>
      </w:r>
      <w:r>
        <w:rPr>
          <w:spacing w:val="-3"/>
          <w:sz w:val="24"/>
        </w:rPr>
        <w:t> </w:t>
      </w:r>
      <w:r>
        <w:rPr>
          <w:spacing w:val="-2"/>
          <w:sz w:val="24"/>
        </w:rPr>
        <w:t>uniquement.</w:t>
      </w:r>
    </w:p>
    <w:p>
      <w:pPr>
        <w:pStyle w:val="ListParagraph"/>
        <w:numPr>
          <w:ilvl w:val="0"/>
          <w:numId w:val="1"/>
        </w:numPr>
        <w:tabs>
          <w:tab w:pos="590" w:val="left" w:leader="none"/>
        </w:tabs>
        <w:spacing w:line="240" w:lineRule="auto" w:before="236" w:after="0"/>
        <w:ind w:left="590" w:right="166" w:hanging="425"/>
        <w:jc w:val="left"/>
        <w:rPr>
          <w:sz w:val="24"/>
        </w:rPr>
      </w:pPr>
      <w:r>
        <w:rPr>
          <w:sz w:val="24"/>
        </w:rPr>
        <w:t>Dans</w:t>
      </w:r>
      <w:r>
        <w:rPr>
          <w:spacing w:val="-12"/>
          <w:sz w:val="24"/>
        </w:rPr>
        <w:t> </w:t>
      </w:r>
      <w:r>
        <w:rPr>
          <w:sz w:val="24"/>
        </w:rPr>
        <w:t>son</w:t>
      </w:r>
      <w:r>
        <w:rPr>
          <w:spacing w:val="-12"/>
          <w:sz w:val="24"/>
        </w:rPr>
        <w:t> </w:t>
      </w:r>
      <w:r>
        <w:rPr>
          <w:sz w:val="24"/>
        </w:rPr>
        <w:t>mémoire</w:t>
      </w:r>
      <w:r>
        <w:rPr>
          <w:spacing w:val="-11"/>
          <w:sz w:val="24"/>
        </w:rPr>
        <w:t> </w:t>
      </w:r>
      <w:r>
        <w:rPr>
          <w:sz w:val="24"/>
        </w:rPr>
        <w:t>en</w:t>
      </w:r>
      <w:r>
        <w:rPr>
          <w:spacing w:val="-12"/>
          <w:sz w:val="24"/>
        </w:rPr>
        <w:t> </w:t>
      </w:r>
      <w:r>
        <w:rPr>
          <w:sz w:val="24"/>
        </w:rPr>
        <w:t>réponse</w:t>
      </w:r>
      <w:r>
        <w:rPr>
          <w:spacing w:val="-13"/>
          <w:sz w:val="24"/>
        </w:rPr>
        <w:t> </w:t>
      </w:r>
      <w:r>
        <w:rPr>
          <w:sz w:val="24"/>
        </w:rPr>
        <w:t>reçu</w:t>
      </w:r>
      <w:r>
        <w:rPr>
          <w:spacing w:val="-12"/>
          <w:sz w:val="24"/>
        </w:rPr>
        <w:t> </w:t>
      </w:r>
      <w:r>
        <w:rPr>
          <w:sz w:val="24"/>
        </w:rPr>
        <w:t>le</w:t>
      </w:r>
      <w:r>
        <w:rPr>
          <w:spacing w:val="-10"/>
          <w:sz w:val="24"/>
        </w:rPr>
        <w:t> </w:t>
      </w:r>
      <w:r>
        <w:rPr>
          <w:sz w:val="24"/>
        </w:rPr>
        <w:t>19</w:t>
      </w:r>
      <w:r>
        <w:rPr>
          <w:spacing w:val="-12"/>
          <w:sz w:val="24"/>
        </w:rPr>
        <w:t> </w:t>
      </w:r>
      <w:r>
        <w:rPr>
          <w:sz w:val="24"/>
        </w:rPr>
        <w:t>octobre</w:t>
      </w:r>
      <w:r>
        <w:rPr>
          <w:spacing w:val="-11"/>
          <w:sz w:val="24"/>
        </w:rPr>
        <w:t> </w:t>
      </w:r>
      <w:r>
        <w:rPr>
          <w:sz w:val="24"/>
        </w:rPr>
        <w:t>2024,</w:t>
      </w:r>
      <w:r>
        <w:rPr>
          <w:spacing w:val="-12"/>
          <w:sz w:val="24"/>
        </w:rPr>
        <w:t> </w:t>
      </w:r>
      <w:r>
        <w:rPr>
          <w:sz w:val="24"/>
        </w:rPr>
        <w:t>la</w:t>
      </w:r>
      <w:r>
        <w:rPr>
          <w:spacing w:val="-13"/>
          <w:sz w:val="24"/>
        </w:rPr>
        <w:t> </w:t>
      </w:r>
      <w:r>
        <w:rPr>
          <w:sz w:val="24"/>
        </w:rPr>
        <w:t>demanderesse</w:t>
      </w:r>
      <w:r>
        <w:rPr>
          <w:spacing w:val="-10"/>
          <w:sz w:val="24"/>
        </w:rPr>
        <w:t> </w:t>
      </w:r>
      <w:r>
        <w:rPr>
          <w:sz w:val="24"/>
        </w:rPr>
        <w:t>a</w:t>
      </w:r>
      <w:r>
        <w:rPr>
          <w:spacing w:val="-13"/>
          <w:sz w:val="24"/>
        </w:rPr>
        <w:t> </w:t>
      </w:r>
      <w:r>
        <w:rPr>
          <w:sz w:val="24"/>
        </w:rPr>
        <w:t>demandé</w:t>
      </w:r>
      <w:r>
        <w:rPr>
          <w:spacing w:val="-14"/>
          <w:sz w:val="24"/>
        </w:rPr>
        <w:t> </w:t>
      </w:r>
      <w:r>
        <w:rPr>
          <w:sz w:val="24"/>
        </w:rPr>
        <w:t>le</w:t>
      </w:r>
      <w:r>
        <w:rPr>
          <w:spacing w:val="-13"/>
          <w:sz w:val="24"/>
        </w:rPr>
        <w:t> </w:t>
      </w:r>
      <w:r>
        <w:rPr>
          <w:sz w:val="24"/>
        </w:rPr>
        <w:t>rejet du recours.</w:t>
      </w:r>
    </w:p>
    <w:p>
      <w:pPr>
        <w:pStyle w:val="BodyText"/>
        <w:spacing w:before="204"/>
      </w:pPr>
    </w:p>
    <w:p>
      <w:pPr>
        <w:spacing w:before="0"/>
        <w:ind w:left="590" w:right="0" w:firstLine="0"/>
        <w:jc w:val="left"/>
        <w:rPr>
          <w:b/>
          <w:sz w:val="24"/>
        </w:rPr>
      </w:pPr>
      <w:r>
        <w:rPr>
          <w:b/>
          <w:sz w:val="24"/>
        </w:rPr>
        <w:t>Moyens</w:t>
      </w:r>
      <w:r>
        <w:rPr>
          <w:b/>
          <w:spacing w:val="-3"/>
          <w:sz w:val="24"/>
        </w:rPr>
        <w:t> </w:t>
      </w:r>
      <w:r>
        <w:rPr>
          <w:b/>
          <w:sz w:val="24"/>
        </w:rPr>
        <w:t>et</w:t>
      </w:r>
      <w:r>
        <w:rPr>
          <w:b/>
          <w:spacing w:val="-1"/>
          <w:sz w:val="24"/>
        </w:rPr>
        <w:t> </w:t>
      </w:r>
      <w:r>
        <w:rPr>
          <w:b/>
          <w:sz w:val="24"/>
        </w:rPr>
        <w:t>arguments</w:t>
      </w:r>
      <w:r>
        <w:rPr>
          <w:b/>
          <w:spacing w:val="-1"/>
          <w:sz w:val="24"/>
        </w:rPr>
        <w:t> </w:t>
      </w:r>
      <w:r>
        <w:rPr>
          <w:b/>
          <w:sz w:val="24"/>
        </w:rPr>
        <w:t>des</w:t>
      </w:r>
      <w:r>
        <w:rPr>
          <w:b/>
          <w:spacing w:val="-1"/>
          <w:sz w:val="24"/>
        </w:rPr>
        <w:t> </w:t>
      </w:r>
      <w:r>
        <w:rPr>
          <w:b/>
          <w:spacing w:val="-2"/>
          <w:sz w:val="24"/>
        </w:rPr>
        <w:t>parties</w:t>
      </w:r>
    </w:p>
    <w:p>
      <w:pPr>
        <w:pStyle w:val="ListParagraph"/>
        <w:numPr>
          <w:ilvl w:val="0"/>
          <w:numId w:val="1"/>
        </w:numPr>
        <w:tabs>
          <w:tab w:pos="590" w:val="left" w:leader="none"/>
        </w:tabs>
        <w:spacing w:line="240" w:lineRule="auto" w:before="241" w:after="0"/>
        <w:ind w:left="590" w:right="170" w:hanging="425"/>
        <w:jc w:val="left"/>
        <w:rPr>
          <w:sz w:val="24"/>
        </w:rPr>
      </w:pPr>
      <w:r>
        <w:rPr>
          <w:sz w:val="24"/>
        </w:rPr>
        <w:t>Les</w:t>
      </w:r>
      <w:r>
        <w:rPr>
          <w:spacing w:val="34"/>
          <w:sz w:val="24"/>
        </w:rPr>
        <w:t> </w:t>
      </w:r>
      <w:r>
        <w:rPr>
          <w:sz w:val="24"/>
        </w:rPr>
        <w:t>arguments</w:t>
      </w:r>
      <w:r>
        <w:rPr>
          <w:spacing w:val="33"/>
          <w:sz w:val="24"/>
        </w:rPr>
        <w:t> </w:t>
      </w:r>
      <w:r>
        <w:rPr>
          <w:sz w:val="24"/>
        </w:rPr>
        <w:t>soulevés</w:t>
      </w:r>
      <w:r>
        <w:rPr>
          <w:spacing w:val="34"/>
          <w:sz w:val="24"/>
        </w:rPr>
        <w:t> </w:t>
      </w:r>
      <w:r>
        <w:rPr>
          <w:sz w:val="24"/>
        </w:rPr>
        <w:t>dans</w:t>
      </w:r>
      <w:r>
        <w:rPr>
          <w:spacing w:val="33"/>
          <w:sz w:val="24"/>
        </w:rPr>
        <w:t> </w:t>
      </w:r>
      <w:r>
        <w:rPr>
          <w:sz w:val="24"/>
        </w:rPr>
        <w:t>le</w:t>
      </w:r>
      <w:r>
        <w:rPr>
          <w:spacing w:val="34"/>
          <w:sz w:val="24"/>
        </w:rPr>
        <w:t> </w:t>
      </w:r>
      <w:r>
        <w:rPr>
          <w:sz w:val="24"/>
        </w:rPr>
        <w:t>mémoire</w:t>
      </w:r>
      <w:r>
        <w:rPr>
          <w:spacing w:val="33"/>
          <w:sz w:val="24"/>
        </w:rPr>
        <w:t> </w:t>
      </w:r>
      <w:r>
        <w:rPr>
          <w:sz w:val="24"/>
        </w:rPr>
        <w:t>exposant</w:t>
      </w:r>
      <w:r>
        <w:rPr>
          <w:spacing w:val="33"/>
          <w:sz w:val="24"/>
        </w:rPr>
        <w:t> </w:t>
      </w:r>
      <w:r>
        <w:rPr>
          <w:sz w:val="24"/>
        </w:rPr>
        <w:t>les</w:t>
      </w:r>
      <w:r>
        <w:rPr>
          <w:spacing w:val="32"/>
          <w:sz w:val="24"/>
        </w:rPr>
        <w:t> </w:t>
      </w:r>
      <w:r>
        <w:rPr>
          <w:sz w:val="24"/>
        </w:rPr>
        <w:t>motifs</w:t>
      </w:r>
      <w:r>
        <w:rPr>
          <w:spacing w:val="32"/>
          <w:sz w:val="24"/>
        </w:rPr>
        <w:t> </w:t>
      </w:r>
      <w:r>
        <w:rPr>
          <w:sz w:val="24"/>
        </w:rPr>
        <w:t>du</w:t>
      </w:r>
      <w:r>
        <w:rPr>
          <w:spacing w:val="34"/>
          <w:sz w:val="24"/>
        </w:rPr>
        <w:t> </w:t>
      </w:r>
      <w:r>
        <w:rPr>
          <w:sz w:val="24"/>
        </w:rPr>
        <w:t>recours</w:t>
      </w:r>
      <w:r>
        <w:rPr>
          <w:spacing w:val="33"/>
          <w:sz w:val="24"/>
        </w:rPr>
        <w:t> </w:t>
      </w:r>
      <w:r>
        <w:rPr>
          <w:sz w:val="24"/>
        </w:rPr>
        <w:t>peuvent</w:t>
      </w:r>
      <w:r>
        <w:rPr>
          <w:spacing w:val="34"/>
          <w:sz w:val="24"/>
        </w:rPr>
        <w:t> </w:t>
      </w:r>
      <w:r>
        <w:rPr>
          <w:sz w:val="24"/>
        </w:rPr>
        <w:t>être résumés comme suit:</w:t>
      </w:r>
    </w:p>
    <w:p>
      <w:pPr>
        <w:pStyle w:val="ListParagraph"/>
        <w:numPr>
          <w:ilvl w:val="0"/>
          <w:numId w:val="4"/>
        </w:numPr>
        <w:tabs>
          <w:tab w:pos="1015" w:val="left" w:leader="none"/>
          <w:tab w:pos="1017" w:val="left" w:leader="none"/>
        </w:tabs>
        <w:spacing w:line="240" w:lineRule="auto" w:before="240" w:after="0"/>
        <w:ind w:left="1017" w:right="163" w:hanging="428"/>
        <w:jc w:val="both"/>
        <w:rPr>
          <w:sz w:val="24"/>
        </w:rPr>
      </w:pPr>
      <w:r>
        <w:rPr>
          <w:sz w:val="24"/>
        </w:rPr>
        <w:t>La division d’opposition a procédé à une analyse contestable et a commis plusieurs erreurs de droit, notamment: I) après avoir admis l’existence d’une similitude entre les</w:t>
      </w:r>
      <w:r>
        <w:rPr>
          <w:spacing w:val="-6"/>
          <w:sz w:val="24"/>
        </w:rPr>
        <w:t> </w:t>
      </w:r>
      <w:r>
        <w:rPr>
          <w:sz w:val="24"/>
        </w:rPr>
        <w:t>signes,</w:t>
      </w:r>
      <w:r>
        <w:rPr>
          <w:spacing w:val="-3"/>
          <w:sz w:val="24"/>
        </w:rPr>
        <w:t> </w:t>
      </w:r>
      <w:r>
        <w:rPr>
          <w:sz w:val="24"/>
        </w:rPr>
        <w:t>et</w:t>
      </w:r>
      <w:r>
        <w:rPr>
          <w:spacing w:val="-5"/>
          <w:sz w:val="24"/>
        </w:rPr>
        <w:t> </w:t>
      </w:r>
      <w:r>
        <w:rPr>
          <w:sz w:val="24"/>
        </w:rPr>
        <w:t>pas</w:t>
      </w:r>
      <w:r>
        <w:rPr>
          <w:spacing w:val="-3"/>
          <w:sz w:val="24"/>
        </w:rPr>
        <w:t> </w:t>
      </w:r>
      <w:r>
        <w:rPr>
          <w:sz w:val="24"/>
        </w:rPr>
        <w:t>seulement</w:t>
      </w:r>
      <w:r>
        <w:rPr>
          <w:spacing w:val="-5"/>
          <w:sz w:val="24"/>
        </w:rPr>
        <w:t> </w:t>
      </w:r>
      <w:r>
        <w:rPr>
          <w:sz w:val="24"/>
        </w:rPr>
        <w:t>à</w:t>
      </w:r>
      <w:r>
        <w:rPr>
          <w:spacing w:val="-7"/>
          <w:sz w:val="24"/>
        </w:rPr>
        <w:t> </w:t>
      </w:r>
      <w:r>
        <w:rPr>
          <w:sz w:val="24"/>
        </w:rPr>
        <w:t>un</w:t>
      </w:r>
      <w:r>
        <w:rPr>
          <w:spacing w:val="-6"/>
          <w:sz w:val="24"/>
        </w:rPr>
        <w:t> </w:t>
      </w:r>
      <w:r>
        <w:rPr>
          <w:sz w:val="24"/>
        </w:rPr>
        <w:t>faible</w:t>
      </w:r>
      <w:r>
        <w:rPr>
          <w:spacing w:val="-7"/>
          <w:sz w:val="24"/>
        </w:rPr>
        <w:t> </w:t>
      </w:r>
      <w:r>
        <w:rPr>
          <w:sz w:val="24"/>
        </w:rPr>
        <w:t>degré,</w:t>
      </w:r>
      <w:r>
        <w:rPr>
          <w:spacing w:val="-6"/>
          <w:sz w:val="24"/>
        </w:rPr>
        <w:t> </w:t>
      </w:r>
      <w:r>
        <w:rPr>
          <w:sz w:val="24"/>
        </w:rPr>
        <w:t>la</w:t>
      </w:r>
      <w:r>
        <w:rPr>
          <w:spacing w:val="-4"/>
          <w:sz w:val="24"/>
        </w:rPr>
        <w:t> </w:t>
      </w:r>
      <w:r>
        <w:rPr>
          <w:sz w:val="24"/>
        </w:rPr>
        <w:t>décision</w:t>
      </w:r>
      <w:r>
        <w:rPr>
          <w:spacing w:val="-6"/>
          <w:sz w:val="24"/>
        </w:rPr>
        <w:t> </w:t>
      </w:r>
      <w:r>
        <w:rPr>
          <w:sz w:val="24"/>
        </w:rPr>
        <w:t>attaquée</w:t>
      </w:r>
      <w:r>
        <w:rPr>
          <w:spacing w:val="-5"/>
          <w:sz w:val="24"/>
        </w:rPr>
        <w:t> </w:t>
      </w:r>
      <w:r>
        <w:rPr>
          <w:sz w:val="24"/>
        </w:rPr>
        <w:t>a</w:t>
      </w:r>
      <w:r>
        <w:rPr>
          <w:spacing w:val="-4"/>
          <w:sz w:val="24"/>
        </w:rPr>
        <w:t> </w:t>
      </w:r>
      <w:r>
        <w:rPr>
          <w:sz w:val="24"/>
        </w:rPr>
        <w:t>ensuite</w:t>
      </w:r>
      <w:r>
        <w:rPr>
          <w:spacing w:val="-3"/>
          <w:sz w:val="24"/>
        </w:rPr>
        <w:t> </w:t>
      </w:r>
      <w:r>
        <w:rPr>
          <w:sz w:val="24"/>
        </w:rPr>
        <w:t>procédé</w:t>
      </w:r>
      <w:r>
        <w:rPr>
          <w:spacing w:val="-5"/>
          <w:sz w:val="24"/>
        </w:rPr>
        <w:t> </w:t>
      </w:r>
      <w:r>
        <w:rPr>
          <w:sz w:val="24"/>
        </w:rPr>
        <w:t>à l’appréciation globale sans tenir compte de sa conclusion précédente mais semblant, au contraire, considérer les signes comme n’étant pas similaires, ou seulement similaires</w:t>
      </w:r>
      <w:r>
        <w:rPr>
          <w:spacing w:val="-4"/>
          <w:sz w:val="24"/>
        </w:rPr>
        <w:t> </w:t>
      </w:r>
      <w:r>
        <w:rPr>
          <w:sz w:val="24"/>
        </w:rPr>
        <w:t>à</w:t>
      </w:r>
      <w:r>
        <w:rPr>
          <w:spacing w:val="-5"/>
          <w:sz w:val="24"/>
        </w:rPr>
        <w:t> </w:t>
      </w:r>
      <w:r>
        <w:rPr>
          <w:sz w:val="24"/>
        </w:rPr>
        <w:t>un</w:t>
      </w:r>
      <w:r>
        <w:rPr>
          <w:spacing w:val="-4"/>
          <w:sz w:val="24"/>
        </w:rPr>
        <w:t> </w:t>
      </w:r>
      <w:r>
        <w:rPr>
          <w:sz w:val="24"/>
        </w:rPr>
        <w:t>très</w:t>
      </w:r>
      <w:r>
        <w:rPr>
          <w:spacing w:val="-4"/>
          <w:sz w:val="24"/>
        </w:rPr>
        <w:t> </w:t>
      </w:r>
      <w:r>
        <w:rPr>
          <w:sz w:val="24"/>
        </w:rPr>
        <w:t>faible</w:t>
      </w:r>
      <w:r>
        <w:rPr>
          <w:spacing w:val="-3"/>
          <w:sz w:val="24"/>
        </w:rPr>
        <w:t> </w:t>
      </w:r>
      <w:r>
        <w:rPr>
          <w:sz w:val="24"/>
        </w:rPr>
        <w:t>degré,</w:t>
      </w:r>
      <w:r>
        <w:rPr>
          <w:spacing w:val="-4"/>
          <w:sz w:val="24"/>
        </w:rPr>
        <w:t> </w:t>
      </w:r>
      <w:r>
        <w:rPr>
          <w:sz w:val="24"/>
        </w:rPr>
        <w:t>en</w:t>
      </w:r>
      <w:r>
        <w:rPr>
          <w:spacing w:val="-2"/>
          <w:sz w:val="24"/>
        </w:rPr>
        <w:t> </w:t>
      </w:r>
      <w:r>
        <w:rPr>
          <w:sz w:val="24"/>
        </w:rPr>
        <w:t>considérant</w:t>
      </w:r>
      <w:r>
        <w:rPr>
          <w:spacing w:val="-4"/>
          <w:sz w:val="24"/>
        </w:rPr>
        <w:t> </w:t>
      </w:r>
      <w:r>
        <w:rPr>
          <w:sz w:val="24"/>
        </w:rPr>
        <w:t>notamment</w:t>
      </w:r>
      <w:r>
        <w:rPr>
          <w:spacing w:val="-4"/>
          <w:sz w:val="24"/>
        </w:rPr>
        <w:t> </w:t>
      </w:r>
      <w:r>
        <w:rPr>
          <w:sz w:val="24"/>
        </w:rPr>
        <w:t>que «les</w:t>
      </w:r>
      <w:r>
        <w:rPr>
          <w:spacing w:val="-4"/>
          <w:sz w:val="24"/>
        </w:rPr>
        <w:t> </w:t>
      </w:r>
      <w:r>
        <w:rPr>
          <w:sz w:val="24"/>
        </w:rPr>
        <w:t>différences</w:t>
      </w:r>
      <w:r>
        <w:rPr>
          <w:spacing w:val="-4"/>
          <w:sz w:val="24"/>
        </w:rPr>
        <w:t> </w:t>
      </w:r>
      <w:r>
        <w:rPr>
          <w:sz w:val="24"/>
        </w:rPr>
        <w:t>entre les signes sont frappantes»; (II) dans l’appréciation globale, la division d’opposition a</w:t>
      </w:r>
      <w:r>
        <w:rPr>
          <w:spacing w:val="-4"/>
          <w:sz w:val="24"/>
        </w:rPr>
        <w:t> </w:t>
      </w:r>
      <w:r>
        <w:rPr>
          <w:sz w:val="24"/>
        </w:rPr>
        <w:t>procédé</w:t>
      </w:r>
      <w:r>
        <w:rPr>
          <w:spacing w:val="-4"/>
          <w:sz w:val="24"/>
        </w:rPr>
        <w:t> </w:t>
      </w:r>
      <w:r>
        <w:rPr>
          <w:sz w:val="24"/>
        </w:rPr>
        <w:t>à</w:t>
      </w:r>
      <w:r>
        <w:rPr>
          <w:spacing w:val="-4"/>
          <w:sz w:val="24"/>
        </w:rPr>
        <w:t> </w:t>
      </w:r>
      <w:r>
        <w:rPr>
          <w:sz w:val="24"/>
        </w:rPr>
        <w:t>une</w:t>
      </w:r>
      <w:r>
        <w:rPr>
          <w:spacing w:val="-4"/>
          <w:sz w:val="24"/>
        </w:rPr>
        <w:t> </w:t>
      </w:r>
      <w:r>
        <w:rPr>
          <w:sz w:val="24"/>
        </w:rPr>
        <w:t>nouvelle</w:t>
      </w:r>
      <w:r>
        <w:rPr>
          <w:spacing w:val="-2"/>
          <w:sz w:val="24"/>
        </w:rPr>
        <w:t> </w:t>
      </w:r>
      <w:r>
        <w:rPr>
          <w:sz w:val="24"/>
        </w:rPr>
        <w:t>comparaison</w:t>
      </w:r>
      <w:r>
        <w:rPr>
          <w:spacing w:val="-3"/>
          <w:sz w:val="24"/>
        </w:rPr>
        <w:t> </w:t>
      </w:r>
      <w:r>
        <w:rPr>
          <w:sz w:val="24"/>
        </w:rPr>
        <w:t>des</w:t>
      </w:r>
      <w:r>
        <w:rPr>
          <w:spacing w:val="-3"/>
          <w:sz w:val="24"/>
        </w:rPr>
        <w:t> </w:t>
      </w:r>
      <w:r>
        <w:rPr>
          <w:sz w:val="24"/>
        </w:rPr>
        <w:t>signes</w:t>
      </w:r>
      <w:r>
        <w:rPr>
          <w:spacing w:val="-3"/>
          <w:sz w:val="24"/>
        </w:rPr>
        <w:t> </w:t>
      </w:r>
      <w:r>
        <w:rPr>
          <w:sz w:val="24"/>
        </w:rPr>
        <w:t>différente</w:t>
      </w:r>
      <w:r>
        <w:rPr>
          <w:spacing w:val="-4"/>
          <w:sz w:val="24"/>
        </w:rPr>
        <w:t> </w:t>
      </w:r>
      <w:r>
        <w:rPr>
          <w:sz w:val="24"/>
        </w:rPr>
        <w:t>et</w:t>
      </w:r>
      <w:r>
        <w:rPr>
          <w:spacing w:val="-3"/>
          <w:sz w:val="24"/>
        </w:rPr>
        <w:t> </w:t>
      </w:r>
      <w:r>
        <w:rPr>
          <w:sz w:val="24"/>
        </w:rPr>
        <w:t>clairement</w:t>
      </w:r>
      <w:r>
        <w:rPr>
          <w:spacing w:val="-3"/>
          <w:sz w:val="24"/>
        </w:rPr>
        <w:t> </w:t>
      </w:r>
      <w:r>
        <w:rPr>
          <w:sz w:val="24"/>
        </w:rPr>
        <w:t>plus</w:t>
      </w:r>
      <w:r>
        <w:rPr>
          <w:spacing w:val="-3"/>
          <w:sz w:val="24"/>
        </w:rPr>
        <w:t> </w:t>
      </w:r>
      <w:r>
        <w:rPr>
          <w:sz w:val="24"/>
        </w:rPr>
        <w:t>stricte, en se concentrant bien davantage sur les différences entre les signes que sur leurs similitudes;</w:t>
      </w:r>
      <w:r>
        <w:rPr>
          <w:spacing w:val="-9"/>
          <w:sz w:val="24"/>
        </w:rPr>
        <w:t> </w:t>
      </w:r>
      <w:r>
        <w:rPr>
          <w:sz w:val="24"/>
        </w:rPr>
        <w:t>(III)</w:t>
      </w:r>
      <w:r>
        <w:rPr>
          <w:spacing w:val="-8"/>
          <w:sz w:val="24"/>
        </w:rPr>
        <w:t> </w:t>
      </w:r>
      <w:r>
        <w:rPr>
          <w:sz w:val="24"/>
        </w:rPr>
        <w:t>bien</w:t>
      </w:r>
      <w:r>
        <w:rPr>
          <w:spacing w:val="-8"/>
          <w:sz w:val="24"/>
        </w:rPr>
        <w:t> </w:t>
      </w:r>
      <w:r>
        <w:rPr>
          <w:sz w:val="24"/>
        </w:rPr>
        <w:t>que</w:t>
      </w:r>
      <w:r>
        <w:rPr>
          <w:spacing w:val="-8"/>
          <w:sz w:val="24"/>
        </w:rPr>
        <w:t> </w:t>
      </w:r>
      <w:r>
        <w:rPr>
          <w:sz w:val="24"/>
        </w:rPr>
        <w:t>les</w:t>
      </w:r>
      <w:r>
        <w:rPr>
          <w:spacing w:val="-9"/>
          <w:sz w:val="24"/>
        </w:rPr>
        <w:t> </w:t>
      </w:r>
      <w:r>
        <w:rPr>
          <w:sz w:val="24"/>
        </w:rPr>
        <w:t>produits</w:t>
      </w:r>
      <w:r>
        <w:rPr>
          <w:spacing w:val="-9"/>
          <w:sz w:val="24"/>
        </w:rPr>
        <w:t> </w:t>
      </w:r>
      <w:r>
        <w:rPr>
          <w:sz w:val="24"/>
        </w:rPr>
        <w:t>aient</w:t>
      </w:r>
      <w:r>
        <w:rPr>
          <w:spacing w:val="-9"/>
          <w:sz w:val="24"/>
        </w:rPr>
        <w:t> </w:t>
      </w:r>
      <w:r>
        <w:rPr>
          <w:sz w:val="24"/>
        </w:rPr>
        <w:t>été</w:t>
      </w:r>
      <w:r>
        <w:rPr>
          <w:spacing w:val="-9"/>
          <w:sz w:val="24"/>
        </w:rPr>
        <w:t> </w:t>
      </w:r>
      <w:r>
        <w:rPr>
          <w:sz w:val="24"/>
        </w:rPr>
        <w:t>considérés</w:t>
      </w:r>
      <w:r>
        <w:rPr>
          <w:spacing w:val="-9"/>
          <w:sz w:val="24"/>
        </w:rPr>
        <w:t> </w:t>
      </w:r>
      <w:r>
        <w:rPr>
          <w:sz w:val="24"/>
        </w:rPr>
        <w:t>identiques</w:t>
      </w:r>
      <w:r>
        <w:rPr>
          <w:spacing w:val="-9"/>
          <w:sz w:val="24"/>
        </w:rPr>
        <w:t> </w:t>
      </w:r>
      <w:r>
        <w:rPr>
          <w:sz w:val="24"/>
        </w:rPr>
        <w:t>et</w:t>
      </w:r>
      <w:r>
        <w:rPr>
          <w:spacing w:val="-9"/>
          <w:sz w:val="24"/>
        </w:rPr>
        <w:t> </w:t>
      </w:r>
      <w:r>
        <w:rPr>
          <w:sz w:val="24"/>
        </w:rPr>
        <w:t>que</w:t>
      </w:r>
      <w:r>
        <w:rPr>
          <w:spacing w:val="-8"/>
          <w:sz w:val="24"/>
        </w:rPr>
        <w:t> </w:t>
      </w:r>
      <w:r>
        <w:rPr>
          <w:sz w:val="24"/>
        </w:rPr>
        <w:t>les</w:t>
      </w:r>
      <w:r>
        <w:rPr>
          <w:spacing w:val="-9"/>
          <w:sz w:val="24"/>
        </w:rPr>
        <w:t> </w:t>
      </w:r>
      <w:r>
        <w:rPr>
          <w:sz w:val="24"/>
        </w:rPr>
        <w:t>signes soient similaires, la division d’opposition n’a à aucun moment demandé réparation.</w:t>
      </w:r>
    </w:p>
    <w:p>
      <w:pPr>
        <w:pStyle w:val="ListParagraph"/>
        <w:numPr>
          <w:ilvl w:val="0"/>
          <w:numId w:val="4"/>
        </w:numPr>
        <w:tabs>
          <w:tab w:pos="1015" w:val="left" w:leader="none"/>
          <w:tab w:pos="1017" w:val="left" w:leader="none"/>
        </w:tabs>
        <w:spacing w:line="240" w:lineRule="auto" w:before="241" w:after="0"/>
        <w:ind w:left="1017" w:right="166" w:hanging="428"/>
        <w:jc w:val="both"/>
        <w:rPr>
          <w:sz w:val="24"/>
        </w:rPr>
      </w:pPr>
      <w:r>
        <w:rPr>
          <w:sz w:val="24"/>
        </w:rPr>
        <w:t>L’ opposante présente de nouveaux faits et preuves devant la chambre de recours (annexes 3 à 20) visant à</w:t>
      </w:r>
      <w:r>
        <w:rPr>
          <w:spacing w:val="-2"/>
          <w:sz w:val="24"/>
        </w:rPr>
        <w:t> </w:t>
      </w:r>
      <w:r>
        <w:rPr>
          <w:sz w:val="24"/>
        </w:rPr>
        <w:t>démontrer davantage la renommée des marques antérieures de Chanel pour des </w:t>
      </w:r>
      <w:r>
        <w:rPr>
          <w:i/>
          <w:sz w:val="24"/>
        </w:rPr>
        <w:t>parfums </w:t>
      </w:r>
      <w:r>
        <w:rPr>
          <w:sz w:val="24"/>
        </w:rPr>
        <w:t>et des </w:t>
      </w:r>
      <w:r>
        <w:rPr>
          <w:i/>
          <w:sz w:val="24"/>
        </w:rPr>
        <w:t>cosmétiques </w:t>
      </w:r>
      <w:r>
        <w:rPr>
          <w:sz w:val="24"/>
        </w:rPr>
        <w:t>en France.</w:t>
      </w:r>
    </w:p>
    <w:p>
      <w:pPr>
        <w:pStyle w:val="ListParagraph"/>
        <w:numPr>
          <w:ilvl w:val="0"/>
          <w:numId w:val="4"/>
        </w:numPr>
        <w:tabs>
          <w:tab w:pos="1017" w:val="left" w:leader="none"/>
        </w:tabs>
        <w:spacing w:line="294" w:lineRule="exact" w:before="239" w:after="0"/>
        <w:ind w:left="1017" w:right="0" w:hanging="427"/>
        <w:jc w:val="left"/>
        <w:rPr>
          <w:sz w:val="24"/>
        </w:rPr>
      </w:pPr>
      <w:r>
        <w:rPr>
          <w:sz w:val="24"/>
        </w:rPr>
        <w:t>La demande</w:t>
      </w:r>
      <w:r>
        <w:rPr>
          <w:spacing w:val="2"/>
          <w:sz w:val="24"/>
        </w:rPr>
        <w:t> </w:t>
      </w:r>
      <w:r>
        <w:rPr>
          <w:sz w:val="24"/>
        </w:rPr>
        <w:t>contestée</w:t>
      </w:r>
      <w:r>
        <w:rPr>
          <w:spacing w:val="3"/>
          <w:sz w:val="24"/>
        </w:rPr>
        <w:t> </w:t>
      </w:r>
      <w:r>
        <w:rPr>
          <w:sz w:val="24"/>
        </w:rPr>
        <w:t>couvre</w:t>
      </w:r>
      <w:r>
        <w:rPr>
          <w:spacing w:val="1"/>
          <w:sz w:val="24"/>
        </w:rPr>
        <w:t> </w:t>
      </w:r>
      <w:r>
        <w:rPr>
          <w:sz w:val="24"/>
        </w:rPr>
        <w:t>des</w:t>
      </w:r>
      <w:r>
        <w:rPr>
          <w:spacing w:val="3"/>
          <w:sz w:val="24"/>
        </w:rPr>
        <w:t> </w:t>
      </w:r>
      <w:r>
        <w:rPr>
          <w:sz w:val="24"/>
        </w:rPr>
        <w:t>produits</w:t>
      </w:r>
      <w:r>
        <w:rPr>
          <w:spacing w:val="4"/>
          <w:sz w:val="24"/>
        </w:rPr>
        <w:t> </w:t>
      </w:r>
      <w:r>
        <w:rPr>
          <w:sz w:val="24"/>
        </w:rPr>
        <w:t>compris</w:t>
      </w:r>
      <w:r>
        <w:rPr>
          <w:spacing w:val="4"/>
          <w:sz w:val="24"/>
        </w:rPr>
        <w:t> </w:t>
      </w:r>
      <w:r>
        <w:rPr>
          <w:sz w:val="24"/>
        </w:rPr>
        <w:t>dans</w:t>
      </w:r>
      <w:r>
        <w:rPr>
          <w:spacing w:val="3"/>
          <w:sz w:val="24"/>
        </w:rPr>
        <w:t> </w:t>
      </w:r>
      <w:r>
        <w:rPr>
          <w:sz w:val="24"/>
        </w:rPr>
        <w:t>la</w:t>
      </w:r>
      <w:r>
        <w:rPr>
          <w:spacing w:val="4"/>
          <w:sz w:val="24"/>
        </w:rPr>
        <w:t> </w:t>
      </w:r>
      <w:r>
        <w:rPr>
          <w:sz w:val="24"/>
        </w:rPr>
        <w:t>classe</w:t>
      </w:r>
      <w:r>
        <w:rPr>
          <w:spacing w:val="2"/>
          <w:sz w:val="24"/>
        </w:rPr>
        <w:t> </w:t>
      </w:r>
      <w:r>
        <w:rPr>
          <w:sz w:val="24"/>
        </w:rPr>
        <w:t>3</w:t>
      </w:r>
      <w:r>
        <w:rPr>
          <w:spacing w:val="3"/>
          <w:sz w:val="24"/>
        </w:rPr>
        <w:t> </w:t>
      </w:r>
      <w:r>
        <w:rPr>
          <w:sz w:val="24"/>
        </w:rPr>
        <w:t>qui</w:t>
      </w:r>
      <w:r>
        <w:rPr>
          <w:spacing w:val="5"/>
          <w:sz w:val="24"/>
        </w:rPr>
        <w:t> </w:t>
      </w:r>
      <w:r>
        <w:rPr>
          <w:sz w:val="24"/>
        </w:rPr>
        <w:t>sont</w:t>
      </w:r>
      <w:r>
        <w:rPr>
          <w:spacing w:val="4"/>
          <w:sz w:val="24"/>
        </w:rPr>
        <w:t> </w:t>
      </w:r>
      <w:r>
        <w:rPr>
          <w:sz w:val="24"/>
        </w:rPr>
        <w:t>tous</w:t>
      </w:r>
      <w:r>
        <w:rPr>
          <w:spacing w:val="5"/>
          <w:sz w:val="24"/>
        </w:rPr>
        <w:t> </w:t>
      </w:r>
      <w:r>
        <w:rPr>
          <w:spacing w:val="-5"/>
          <w:sz w:val="24"/>
        </w:rPr>
        <w:t>des</w:t>
      </w:r>
    </w:p>
    <w:p>
      <w:pPr>
        <w:spacing w:line="276" w:lineRule="exact" w:before="0"/>
        <w:ind w:left="1017" w:right="0" w:firstLine="0"/>
        <w:jc w:val="left"/>
        <w:rPr>
          <w:sz w:val="24"/>
        </w:rPr>
      </w:pPr>
      <w:r>
        <w:rPr>
          <w:i/>
          <w:spacing w:val="-2"/>
          <w:sz w:val="24"/>
        </w:rPr>
        <w:t>cosmétiques</w:t>
      </w:r>
      <w:r>
        <w:rPr>
          <w:spacing w:val="-2"/>
          <w:sz w:val="24"/>
        </w:rPr>
        <w:t>.</w:t>
      </w:r>
    </w:p>
    <w:p>
      <w:pPr>
        <w:pStyle w:val="ListParagraph"/>
        <w:numPr>
          <w:ilvl w:val="0"/>
          <w:numId w:val="4"/>
        </w:numPr>
        <w:tabs>
          <w:tab w:pos="1015" w:val="left" w:leader="none"/>
          <w:tab w:pos="1017" w:val="left" w:leader="none"/>
        </w:tabs>
        <w:spacing w:line="240" w:lineRule="auto" w:before="240" w:after="0"/>
        <w:ind w:left="1017" w:right="162" w:hanging="428"/>
        <w:jc w:val="both"/>
        <w:rPr>
          <w:sz w:val="24"/>
        </w:rPr>
      </w:pPr>
      <w:r>
        <w:rPr>
          <w:sz w:val="24"/>
        </w:rPr>
        <w:t>Le</w:t>
      </w:r>
      <w:r>
        <w:rPr>
          <w:spacing w:val="-3"/>
          <w:sz w:val="24"/>
        </w:rPr>
        <w:t> </w:t>
      </w:r>
      <w:r>
        <w:rPr>
          <w:sz w:val="24"/>
        </w:rPr>
        <w:t>règlement</w:t>
      </w:r>
      <w:r>
        <w:rPr>
          <w:spacing w:val="-4"/>
          <w:sz w:val="24"/>
        </w:rPr>
        <w:t> </w:t>
      </w:r>
      <w:r>
        <w:rPr>
          <w:sz w:val="24"/>
        </w:rPr>
        <w:t>(CE)</w:t>
      </w:r>
      <w:r>
        <w:rPr>
          <w:spacing w:val="-4"/>
          <w:sz w:val="24"/>
        </w:rPr>
        <w:t> </w:t>
      </w:r>
      <w:r>
        <w:rPr>
          <w:sz w:val="24"/>
        </w:rPr>
        <w:t>no</w:t>
      </w:r>
      <w:r>
        <w:rPr>
          <w:spacing w:val="-4"/>
          <w:sz w:val="24"/>
        </w:rPr>
        <w:t> </w:t>
      </w:r>
      <w:r>
        <w:rPr>
          <w:sz w:val="24"/>
        </w:rPr>
        <w:t>1223/2009</w:t>
      </w:r>
      <w:r>
        <w:rPr>
          <w:spacing w:val="-4"/>
          <w:sz w:val="24"/>
        </w:rPr>
        <w:t> </w:t>
      </w:r>
      <w:r>
        <w:rPr>
          <w:sz w:val="24"/>
        </w:rPr>
        <w:t>relatif</w:t>
      </w:r>
      <w:r>
        <w:rPr>
          <w:spacing w:val="-4"/>
          <w:sz w:val="24"/>
        </w:rPr>
        <w:t> </w:t>
      </w:r>
      <w:r>
        <w:rPr>
          <w:sz w:val="24"/>
        </w:rPr>
        <w:t>aux</w:t>
      </w:r>
      <w:r>
        <w:rPr>
          <w:spacing w:val="-2"/>
          <w:sz w:val="24"/>
        </w:rPr>
        <w:t> </w:t>
      </w:r>
      <w:r>
        <w:rPr>
          <w:sz w:val="24"/>
        </w:rPr>
        <w:t>produits</w:t>
      </w:r>
      <w:r>
        <w:rPr>
          <w:spacing w:val="-4"/>
          <w:sz w:val="24"/>
        </w:rPr>
        <w:t> </w:t>
      </w:r>
      <w:r>
        <w:rPr>
          <w:sz w:val="24"/>
        </w:rPr>
        <w:t>cosmétiques</w:t>
      </w:r>
      <w:r>
        <w:rPr>
          <w:spacing w:val="-4"/>
          <w:sz w:val="24"/>
        </w:rPr>
        <w:t> </w:t>
      </w:r>
      <w:r>
        <w:rPr>
          <w:sz w:val="24"/>
        </w:rPr>
        <w:t>définit</w:t>
      </w:r>
      <w:r>
        <w:rPr>
          <w:spacing w:val="-4"/>
          <w:sz w:val="24"/>
        </w:rPr>
        <w:t> </w:t>
      </w:r>
      <w:r>
        <w:rPr>
          <w:sz w:val="24"/>
        </w:rPr>
        <w:t>un</w:t>
      </w:r>
      <w:r>
        <w:rPr>
          <w:spacing w:val="-1"/>
          <w:sz w:val="24"/>
        </w:rPr>
        <w:t> </w:t>
      </w:r>
      <w:r>
        <w:rPr>
          <w:sz w:val="24"/>
        </w:rPr>
        <w:t>«produit cosmétique» (article</w:t>
      </w:r>
      <w:r>
        <w:rPr>
          <w:spacing w:val="-1"/>
          <w:sz w:val="24"/>
        </w:rPr>
        <w:t> </w:t>
      </w:r>
      <w:r>
        <w:rPr>
          <w:sz w:val="24"/>
        </w:rPr>
        <w:t>2, paragraphe 1, point a)) comme «toute substance ou tout mélange destiné à être mis en contact avec les parties extérieures du corps humain (épiderme,</w:t>
      </w:r>
      <w:r>
        <w:rPr>
          <w:spacing w:val="-10"/>
          <w:sz w:val="24"/>
        </w:rPr>
        <w:t> </w:t>
      </w:r>
      <w:r>
        <w:rPr>
          <w:sz w:val="24"/>
        </w:rPr>
        <w:t>système</w:t>
      </w:r>
      <w:r>
        <w:rPr>
          <w:spacing w:val="-12"/>
          <w:sz w:val="24"/>
        </w:rPr>
        <w:t> </w:t>
      </w:r>
      <w:r>
        <w:rPr>
          <w:sz w:val="24"/>
        </w:rPr>
        <w:t>capillaire,</w:t>
      </w:r>
      <w:r>
        <w:rPr>
          <w:spacing w:val="-12"/>
          <w:sz w:val="24"/>
        </w:rPr>
        <w:t> </w:t>
      </w:r>
      <w:r>
        <w:rPr>
          <w:sz w:val="24"/>
        </w:rPr>
        <w:t>ongles,</w:t>
      </w:r>
      <w:r>
        <w:rPr>
          <w:spacing w:val="-12"/>
          <w:sz w:val="24"/>
        </w:rPr>
        <w:t> </w:t>
      </w:r>
      <w:r>
        <w:rPr>
          <w:sz w:val="24"/>
        </w:rPr>
        <w:t>lèvres</w:t>
      </w:r>
      <w:r>
        <w:rPr>
          <w:spacing w:val="-9"/>
          <w:sz w:val="24"/>
        </w:rPr>
        <w:t> </w:t>
      </w:r>
      <w:r>
        <w:rPr>
          <w:sz w:val="24"/>
        </w:rPr>
        <w:t>et</w:t>
      </w:r>
      <w:r>
        <w:rPr>
          <w:spacing w:val="-11"/>
          <w:sz w:val="24"/>
        </w:rPr>
        <w:t> </w:t>
      </w:r>
      <w:r>
        <w:rPr>
          <w:sz w:val="24"/>
        </w:rPr>
        <w:t>organes</w:t>
      </w:r>
      <w:r>
        <w:rPr>
          <w:spacing w:val="-9"/>
          <w:sz w:val="24"/>
        </w:rPr>
        <w:t> </w:t>
      </w:r>
      <w:r>
        <w:rPr>
          <w:sz w:val="24"/>
        </w:rPr>
        <w:t>génitaux</w:t>
      </w:r>
      <w:r>
        <w:rPr>
          <w:spacing w:val="-10"/>
          <w:sz w:val="24"/>
        </w:rPr>
        <w:t> </w:t>
      </w:r>
      <w:r>
        <w:rPr>
          <w:sz w:val="24"/>
        </w:rPr>
        <w:t>externes)</w:t>
      </w:r>
      <w:r>
        <w:rPr>
          <w:spacing w:val="-12"/>
          <w:sz w:val="24"/>
        </w:rPr>
        <w:t> </w:t>
      </w:r>
      <w:r>
        <w:rPr>
          <w:sz w:val="24"/>
        </w:rPr>
        <w:t>ou</w:t>
      </w:r>
      <w:r>
        <w:rPr>
          <w:spacing w:val="-12"/>
          <w:sz w:val="24"/>
        </w:rPr>
        <w:t> </w:t>
      </w:r>
      <w:r>
        <w:rPr>
          <w:sz w:val="24"/>
        </w:rPr>
        <w:t>avec</w:t>
      </w:r>
      <w:r>
        <w:rPr>
          <w:spacing w:val="-10"/>
          <w:sz w:val="24"/>
        </w:rPr>
        <w:t> </w:t>
      </w:r>
      <w:r>
        <w:rPr>
          <w:sz w:val="24"/>
        </w:rPr>
        <w:t>les dents et les muqueuses buccales en vue, exclusivement ou principalement, de les nettoyer, de les parfumer, de les protéger, de les maintenir en bon état ou de corriger les odeurs».</w:t>
      </w:r>
    </w:p>
    <w:p>
      <w:pPr>
        <w:pStyle w:val="ListParagraph"/>
        <w:numPr>
          <w:ilvl w:val="0"/>
          <w:numId w:val="4"/>
        </w:numPr>
        <w:tabs>
          <w:tab w:pos="1015" w:val="left" w:leader="none"/>
          <w:tab w:pos="1017" w:val="left" w:leader="none"/>
        </w:tabs>
        <w:spacing w:line="240" w:lineRule="auto" w:before="239" w:after="0"/>
        <w:ind w:left="1017" w:right="159" w:hanging="428"/>
        <w:jc w:val="both"/>
        <w:rPr>
          <w:sz w:val="24"/>
        </w:rPr>
      </w:pPr>
      <w:r>
        <w:rPr>
          <w:sz w:val="24"/>
        </w:rPr>
        <w:t>Tous les produits contestés relèvent de cette définition et sont donc des </w:t>
      </w:r>
      <w:r>
        <w:rPr>
          <w:i/>
          <w:sz w:val="24"/>
        </w:rPr>
        <w:t>cosmétiques </w:t>
      </w:r>
      <w:r>
        <w:rPr>
          <w:sz w:val="24"/>
        </w:rPr>
        <w:t>et les deux marques antérieures couvrent des </w:t>
      </w:r>
      <w:r>
        <w:rPr>
          <w:i/>
          <w:sz w:val="24"/>
        </w:rPr>
        <w:t>cosmétiques</w:t>
      </w:r>
      <w:r>
        <w:rPr>
          <w:sz w:val="24"/>
        </w:rPr>
        <w:t>. Les produits sont donc strictement identiques.</w:t>
      </w:r>
    </w:p>
    <w:p>
      <w:pPr>
        <w:pStyle w:val="ListParagraph"/>
        <w:numPr>
          <w:ilvl w:val="0"/>
          <w:numId w:val="4"/>
        </w:numPr>
        <w:tabs>
          <w:tab w:pos="1017" w:val="left" w:leader="none"/>
        </w:tabs>
        <w:spacing w:line="240" w:lineRule="auto" w:before="242" w:after="0"/>
        <w:ind w:left="1017" w:right="0" w:hanging="427"/>
        <w:jc w:val="left"/>
        <w:rPr>
          <w:sz w:val="24"/>
        </w:rPr>
      </w:pPr>
      <w:r>
        <w:rPr>
          <w:sz w:val="24"/>
        </w:rPr>
        <w:t>En</w:t>
      </w:r>
      <w:r>
        <w:rPr>
          <w:spacing w:val="-2"/>
          <w:sz w:val="24"/>
        </w:rPr>
        <w:t> </w:t>
      </w:r>
      <w:r>
        <w:rPr>
          <w:sz w:val="24"/>
        </w:rPr>
        <w:t>outre,</w:t>
      </w:r>
      <w:r>
        <w:rPr>
          <w:spacing w:val="-1"/>
          <w:sz w:val="24"/>
        </w:rPr>
        <w:t> </w:t>
      </w:r>
      <w:r>
        <w:rPr>
          <w:sz w:val="24"/>
        </w:rPr>
        <w:t>les</w:t>
      </w:r>
      <w:r>
        <w:rPr>
          <w:spacing w:val="-1"/>
          <w:sz w:val="24"/>
        </w:rPr>
        <w:t> </w:t>
      </w:r>
      <w:r>
        <w:rPr>
          <w:sz w:val="24"/>
        </w:rPr>
        <w:t>deux</w:t>
      </w:r>
      <w:r>
        <w:rPr>
          <w:spacing w:val="1"/>
          <w:sz w:val="24"/>
        </w:rPr>
        <w:t> </w:t>
      </w:r>
      <w:r>
        <w:rPr>
          <w:sz w:val="24"/>
        </w:rPr>
        <w:t>marques</w:t>
      </w:r>
      <w:r>
        <w:rPr>
          <w:spacing w:val="-1"/>
          <w:sz w:val="24"/>
        </w:rPr>
        <w:t> </w:t>
      </w:r>
      <w:r>
        <w:rPr>
          <w:sz w:val="24"/>
        </w:rPr>
        <w:t>antérieures</w:t>
      </w:r>
      <w:r>
        <w:rPr>
          <w:spacing w:val="-1"/>
          <w:sz w:val="24"/>
        </w:rPr>
        <w:t> </w:t>
      </w:r>
      <w:r>
        <w:rPr>
          <w:sz w:val="24"/>
        </w:rPr>
        <w:t>visent</w:t>
      </w:r>
      <w:r>
        <w:rPr>
          <w:spacing w:val="-1"/>
          <w:sz w:val="24"/>
        </w:rPr>
        <w:t> </w:t>
      </w:r>
      <w:r>
        <w:rPr>
          <w:sz w:val="24"/>
        </w:rPr>
        <w:t>des produits</w:t>
      </w:r>
      <w:r>
        <w:rPr>
          <w:spacing w:val="-1"/>
          <w:sz w:val="24"/>
        </w:rPr>
        <w:t> </w:t>
      </w:r>
      <w:r>
        <w:rPr>
          <w:sz w:val="24"/>
        </w:rPr>
        <w:t>de</w:t>
      </w:r>
      <w:r>
        <w:rPr>
          <w:spacing w:val="1"/>
          <w:sz w:val="24"/>
        </w:rPr>
        <w:t> </w:t>
      </w:r>
      <w:r>
        <w:rPr>
          <w:i/>
          <w:spacing w:val="-2"/>
          <w:sz w:val="24"/>
        </w:rPr>
        <w:t>parfumerie</w:t>
      </w:r>
      <w:r>
        <w:rPr>
          <w:spacing w:val="-2"/>
          <w:sz w:val="24"/>
        </w:rPr>
        <w:t>.</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9"/>
        <w:rPr>
          <w:sz w:val="18"/>
        </w:rPr>
      </w:pPr>
    </w:p>
    <w:p>
      <w:pPr>
        <w:spacing w:before="0"/>
        <w:ind w:left="2737" w:right="2738" w:firstLine="0"/>
        <w:jc w:val="center"/>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p>
      <w:pPr>
        <w:spacing w:after="0"/>
        <w:jc w:val="center"/>
        <w:rPr>
          <w:sz w:val="18"/>
        </w:rPr>
        <w:sectPr>
          <w:pgSz w:w="11910" w:h="16840"/>
          <w:pgMar w:header="970" w:footer="0" w:top="1180" w:bottom="280" w:left="1275" w:right="1275"/>
        </w:sectPr>
      </w:pPr>
    </w:p>
    <w:p>
      <w:pPr>
        <w:pStyle w:val="ListParagraph"/>
        <w:numPr>
          <w:ilvl w:val="0"/>
          <w:numId w:val="4"/>
        </w:numPr>
        <w:tabs>
          <w:tab w:pos="1016" w:val="left" w:leader="none"/>
        </w:tabs>
        <w:spacing w:line="294" w:lineRule="exact" w:before="249" w:after="0"/>
        <w:ind w:left="1016" w:right="0" w:hanging="426"/>
        <w:jc w:val="both"/>
        <w:rPr>
          <w:sz w:val="24"/>
        </w:rPr>
      </w:pPr>
      <w:r>
        <w:rPr>
          <w:sz w:val="24"/>
        </w:rPr>
        <mc:AlternateContent>
          <mc:Choice Requires="wps">
            <w:drawing>
              <wp:anchor distT="0" distB="0" distL="0" distR="0" allowOverlap="1" layoutInCell="1" locked="0" behindDoc="0" simplePos="0" relativeHeight="15735296">
                <wp:simplePos x="0" y="0"/>
                <wp:positionH relativeFrom="page">
                  <wp:posOffset>270575</wp:posOffset>
                </wp:positionH>
                <wp:positionV relativeFrom="page">
                  <wp:posOffset>1114363</wp:posOffset>
                </wp:positionV>
                <wp:extent cx="146050" cy="921004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46050" cy="9210040"/>
                        </a:xfrm>
                        <a:prstGeom prst="rect">
                          <a:avLst/>
                        </a:prstGeom>
                      </wps:spPr>
                      <wps:txbx>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wps:txbx>
                      <wps:bodyPr wrap="square" lIns="0" tIns="0" rIns="0" bIns="0" rtlCol="0" vert="vert270">
                        <a:noAutofit/>
                      </wps:bodyPr>
                    </wps:wsp>
                  </a:graphicData>
                </a:graphic>
              </wp:anchor>
            </w:drawing>
          </mc:Choice>
          <mc:Fallback>
            <w:pict>
              <v:shape style="position:absolute;margin-left:21.305176pt;margin-top:87.745193pt;width:11.5pt;height:725.2pt;mso-position-horizontal-relative:page;mso-position-vertical-relative:page;z-index:15735296" type="#_x0000_t202" id="docshape13" filled="false" stroked="false">
                <v:textbox inset="0,0,0,0" style="layout-flow:vertical;mso-layout-flow-alt:bottom-to-top">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v:textbox>
                <w10:wrap type="none"/>
              </v:shape>
            </w:pict>
          </mc:Fallback>
        </mc:AlternateContent>
      </w:r>
      <w:r>
        <w:rPr>
          <w:sz w:val="24"/>
        </w:rPr>
        <w:t>Selon</w:t>
      </w:r>
      <w:r>
        <w:rPr>
          <w:spacing w:val="25"/>
          <w:sz w:val="24"/>
        </w:rPr>
        <w:t> </w:t>
      </w:r>
      <w:r>
        <w:rPr>
          <w:sz w:val="24"/>
        </w:rPr>
        <w:t>la</w:t>
      </w:r>
      <w:r>
        <w:rPr>
          <w:spacing w:val="24"/>
          <w:sz w:val="24"/>
        </w:rPr>
        <w:t> </w:t>
      </w:r>
      <w:r>
        <w:rPr>
          <w:sz w:val="24"/>
        </w:rPr>
        <w:t>définition</w:t>
      </w:r>
      <w:r>
        <w:rPr>
          <w:spacing w:val="25"/>
          <w:sz w:val="24"/>
        </w:rPr>
        <w:t> </w:t>
      </w:r>
      <w:r>
        <w:rPr>
          <w:sz w:val="24"/>
        </w:rPr>
        <w:t>précitée</w:t>
      </w:r>
      <w:r>
        <w:rPr>
          <w:spacing w:val="24"/>
          <w:sz w:val="24"/>
        </w:rPr>
        <w:t> </w:t>
      </w:r>
      <w:r>
        <w:rPr>
          <w:sz w:val="24"/>
        </w:rPr>
        <w:t>du</w:t>
      </w:r>
      <w:r>
        <w:rPr>
          <w:spacing w:val="25"/>
          <w:sz w:val="24"/>
        </w:rPr>
        <w:t> </w:t>
      </w:r>
      <w:r>
        <w:rPr>
          <w:sz w:val="24"/>
        </w:rPr>
        <w:t>règlement</w:t>
      </w:r>
      <w:r>
        <w:rPr>
          <w:spacing w:val="25"/>
          <w:sz w:val="24"/>
        </w:rPr>
        <w:t> </w:t>
      </w:r>
      <w:r>
        <w:rPr>
          <w:sz w:val="24"/>
        </w:rPr>
        <w:t>no</w:t>
      </w:r>
      <w:r>
        <w:rPr>
          <w:spacing w:val="25"/>
          <w:sz w:val="24"/>
        </w:rPr>
        <w:t> </w:t>
      </w:r>
      <w:r>
        <w:rPr>
          <w:sz w:val="24"/>
        </w:rPr>
        <w:t>1223/2009,</w:t>
      </w:r>
      <w:r>
        <w:rPr>
          <w:spacing w:val="25"/>
          <w:sz w:val="24"/>
        </w:rPr>
        <w:t> </w:t>
      </w:r>
      <w:r>
        <w:rPr>
          <w:sz w:val="24"/>
        </w:rPr>
        <w:t>un</w:t>
      </w:r>
      <w:r>
        <w:rPr>
          <w:spacing w:val="25"/>
          <w:sz w:val="24"/>
        </w:rPr>
        <w:t> </w:t>
      </w:r>
      <w:r>
        <w:rPr>
          <w:sz w:val="24"/>
        </w:rPr>
        <w:t>produit</w:t>
      </w:r>
      <w:r>
        <w:rPr>
          <w:spacing w:val="25"/>
          <w:sz w:val="24"/>
        </w:rPr>
        <w:t> </w:t>
      </w:r>
      <w:r>
        <w:rPr>
          <w:sz w:val="24"/>
        </w:rPr>
        <w:t>cosmétique</w:t>
      </w:r>
      <w:r>
        <w:rPr>
          <w:spacing w:val="25"/>
          <w:sz w:val="24"/>
        </w:rPr>
        <w:t> </w:t>
      </w:r>
      <w:r>
        <w:rPr>
          <w:spacing w:val="-5"/>
          <w:sz w:val="24"/>
        </w:rPr>
        <w:t>est</w:t>
      </w:r>
    </w:p>
    <w:p>
      <w:pPr>
        <w:pStyle w:val="BodyText"/>
        <w:ind w:left="1017" w:right="162"/>
        <w:jc w:val="both"/>
      </w:pPr>
      <w:r>
        <w:rPr/>
        <w:t>«toute</w:t>
      </w:r>
      <w:r>
        <w:rPr>
          <w:spacing w:val="-3"/>
        </w:rPr>
        <w:t> </w:t>
      </w:r>
      <w:r>
        <w:rPr/>
        <w:t>substance</w:t>
      </w:r>
      <w:r>
        <w:rPr>
          <w:spacing w:val="-4"/>
        </w:rPr>
        <w:t> </w:t>
      </w:r>
      <w:r>
        <w:rPr/>
        <w:t>ou</w:t>
      </w:r>
      <w:r>
        <w:rPr>
          <w:spacing w:val="-3"/>
        </w:rPr>
        <w:t> </w:t>
      </w:r>
      <w:r>
        <w:rPr/>
        <w:t>mélange</w:t>
      </w:r>
      <w:r>
        <w:rPr>
          <w:spacing w:val="-4"/>
        </w:rPr>
        <w:t> </w:t>
      </w:r>
      <w:r>
        <w:rPr/>
        <w:t>destiné</w:t>
      </w:r>
      <w:r>
        <w:rPr>
          <w:spacing w:val="-4"/>
        </w:rPr>
        <w:t> </w:t>
      </w:r>
      <w:r>
        <w:rPr/>
        <w:t>à</w:t>
      </w:r>
      <w:r>
        <w:rPr>
          <w:spacing w:val="-4"/>
        </w:rPr>
        <w:t> </w:t>
      </w:r>
      <w:r>
        <w:rPr/>
        <w:t>être</w:t>
      </w:r>
      <w:r>
        <w:rPr>
          <w:spacing w:val="-4"/>
        </w:rPr>
        <w:t> </w:t>
      </w:r>
      <w:r>
        <w:rPr/>
        <w:t>mis</w:t>
      </w:r>
      <w:r>
        <w:rPr>
          <w:spacing w:val="-3"/>
        </w:rPr>
        <w:t> </w:t>
      </w:r>
      <w:r>
        <w:rPr/>
        <w:t>en</w:t>
      </w:r>
      <w:r>
        <w:rPr>
          <w:spacing w:val="-1"/>
        </w:rPr>
        <w:t> </w:t>
      </w:r>
      <w:r>
        <w:rPr/>
        <w:t>contact</w:t>
      </w:r>
      <w:r>
        <w:rPr>
          <w:spacing w:val="-3"/>
        </w:rPr>
        <w:t> </w:t>
      </w:r>
      <w:r>
        <w:rPr/>
        <w:t>avec</w:t>
      </w:r>
      <w:r>
        <w:rPr>
          <w:spacing w:val="-4"/>
        </w:rPr>
        <w:t> </w:t>
      </w:r>
      <w:r>
        <w:rPr/>
        <w:t>les</w:t>
      </w:r>
      <w:r>
        <w:rPr>
          <w:spacing w:val="-3"/>
        </w:rPr>
        <w:t> </w:t>
      </w:r>
      <w:r>
        <w:rPr/>
        <w:t>parties</w:t>
      </w:r>
      <w:r>
        <w:rPr>
          <w:spacing w:val="-3"/>
        </w:rPr>
        <w:t> </w:t>
      </w:r>
      <w:r>
        <w:rPr/>
        <w:t>extérieures du corps humain &amp;bra;... &amp;ket; en vue de les parfumer exclusivement ou principalement &amp;bra;... &amp;ket;». Ainsi, les </w:t>
      </w:r>
      <w:r>
        <w:rPr>
          <w:i/>
        </w:rPr>
        <w:t>produits de parfumerie </w:t>
      </w:r>
      <w:r>
        <w:rPr/>
        <w:t>appartiennent à la catégorie des </w:t>
      </w:r>
      <w:r>
        <w:rPr>
          <w:i/>
        </w:rPr>
        <w:t>cosmétiques</w:t>
      </w:r>
      <w:r>
        <w:rPr/>
        <w:t>.</w:t>
      </w:r>
    </w:p>
    <w:p>
      <w:pPr>
        <w:pStyle w:val="ListParagraph"/>
        <w:numPr>
          <w:ilvl w:val="0"/>
          <w:numId w:val="4"/>
        </w:numPr>
        <w:tabs>
          <w:tab w:pos="1015" w:val="left" w:leader="none"/>
          <w:tab w:pos="1017" w:val="left" w:leader="none"/>
        </w:tabs>
        <w:spacing w:line="240" w:lineRule="auto" w:before="239" w:after="0"/>
        <w:ind w:left="1017" w:right="165" w:hanging="428"/>
        <w:jc w:val="both"/>
        <w:rPr>
          <w:sz w:val="24"/>
        </w:rPr>
      </w:pPr>
      <w:r>
        <w:rPr>
          <w:sz w:val="24"/>
        </w:rPr>
        <w:t>Tous</w:t>
      </w:r>
      <w:r>
        <w:rPr>
          <w:spacing w:val="-15"/>
          <w:sz w:val="24"/>
        </w:rPr>
        <w:t> </w:t>
      </w:r>
      <w:r>
        <w:rPr>
          <w:sz w:val="24"/>
        </w:rPr>
        <w:t>les</w:t>
      </w:r>
      <w:r>
        <w:rPr>
          <w:spacing w:val="-15"/>
          <w:sz w:val="24"/>
        </w:rPr>
        <w:t> </w:t>
      </w:r>
      <w:r>
        <w:rPr>
          <w:sz w:val="24"/>
        </w:rPr>
        <w:t>produits</w:t>
      </w:r>
      <w:r>
        <w:rPr>
          <w:spacing w:val="-15"/>
          <w:sz w:val="24"/>
        </w:rPr>
        <w:t> </w:t>
      </w:r>
      <w:r>
        <w:rPr>
          <w:sz w:val="24"/>
        </w:rPr>
        <w:t>contestés</w:t>
      </w:r>
      <w:r>
        <w:rPr>
          <w:spacing w:val="-15"/>
          <w:sz w:val="24"/>
        </w:rPr>
        <w:t> </w:t>
      </w:r>
      <w:r>
        <w:rPr>
          <w:sz w:val="24"/>
        </w:rPr>
        <w:t>étant</w:t>
      </w:r>
      <w:r>
        <w:rPr>
          <w:spacing w:val="-15"/>
          <w:sz w:val="24"/>
        </w:rPr>
        <w:t> </w:t>
      </w:r>
      <w:r>
        <w:rPr>
          <w:sz w:val="24"/>
        </w:rPr>
        <w:t>des</w:t>
      </w:r>
      <w:r>
        <w:rPr>
          <w:spacing w:val="-15"/>
          <w:sz w:val="24"/>
        </w:rPr>
        <w:t> </w:t>
      </w:r>
      <w:r>
        <w:rPr>
          <w:sz w:val="24"/>
        </w:rPr>
        <w:t>cosmétiques,</w:t>
      </w:r>
      <w:r>
        <w:rPr>
          <w:spacing w:val="-15"/>
          <w:sz w:val="24"/>
        </w:rPr>
        <w:t> </w:t>
      </w:r>
      <w:r>
        <w:rPr>
          <w:sz w:val="24"/>
        </w:rPr>
        <w:t>les</w:t>
      </w:r>
      <w:r>
        <w:rPr>
          <w:spacing w:val="-15"/>
          <w:sz w:val="24"/>
        </w:rPr>
        <w:t> </w:t>
      </w:r>
      <w:r>
        <w:rPr>
          <w:sz w:val="24"/>
        </w:rPr>
        <w:t>produits</w:t>
      </w:r>
      <w:r>
        <w:rPr>
          <w:spacing w:val="-15"/>
          <w:sz w:val="24"/>
        </w:rPr>
        <w:t> </w:t>
      </w:r>
      <w:r>
        <w:rPr>
          <w:sz w:val="24"/>
        </w:rPr>
        <w:t>en</w:t>
      </w:r>
      <w:r>
        <w:rPr>
          <w:spacing w:val="-15"/>
          <w:sz w:val="24"/>
        </w:rPr>
        <w:t> </w:t>
      </w:r>
      <w:r>
        <w:rPr>
          <w:sz w:val="24"/>
        </w:rPr>
        <w:t>conflit</w:t>
      </w:r>
      <w:r>
        <w:rPr>
          <w:spacing w:val="-15"/>
          <w:sz w:val="24"/>
        </w:rPr>
        <w:t> </w:t>
      </w:r>
      <w:r>
        <w:rPr>
          <w:sz w:val="24"/>
        </w:rPr>
        <w:t>appartiennent tous à la catégorie des </w:t>
      </w:r>
      <w:r>
        <w:rPr>
          <w:i/>
          <w:sz w:val="24"/>
        </w:rPr>
        <w:t>cosmétiques </w:t>
      </w:r>
      <w:r>
        <w:rPr>
          <w:sz w:val="24"/>
        </w:rPr>
        <w:t>et sont donc similaires à un degré élevé.</w:t>
      </w:r>
    </w:p>
    <w:p>
      <w:pPr>
        <w:pStyle w:val="ListParagraph"/>
        <w:numPr>
          <w:ilvl w:val="0"/>
          <w:numId w:val="4"/>
        </w:numPr>
        <w:tabs>
          <w:tab w:pos="1015" w:val="left" w:leader="none"/>
          <w:tab w:pos="1017" w:val="left" w:leader="none"/>
        </w:tabs>
        <w:spacing w:line="240" w:lineRule="auto" w:before="239" w:after="0"/>
        <w:ind w:left="1017" w:right="166" w:hanging="428"/>
        <w:jc w:val="both"/>
        <w:rPr>
          <w:sz w:val="24"/>
        </w:rPr>
      </w:pPr>
      <w:r>
        <w:rPr>
          <w:sz w:val="24"/>
        </w:rPr>
        <w:t>Les produits s’adressent au grand public, dont le niveau d’attention sera moyen. Le territoire pertinent est la France.</w:t>
      </w:r>
    </w:p>
    <w:p>
      <w:pPr>
        <w:pStyle w:val="ListParagraph"/>
        <w:numPr>
          <w:ilvl w:val="0"/>
          <w:numId w:val="4"/>
        </w:numPr>
        <w:tabs>
          <w:tab w:pos="1015" w:val="left" w:leader="none"/>
          <w:tab w:pos="1017" w:val="left" w:leader="none"/>
        </w:tabs>
        <w:spacing w:line="240" w:lineRule="auto" w:before="238" w:after="0"/>
        <w:ind w:left="1017" w:right="165" w:hanging="428"/>
        <w:jc w:val="both"/>
        <w:rPr>
          <w:sz w:val="24"/>
        </w:rPr>
      </w:pPr>
      <w:r>
        <w:rPr>
          <w:sz w:val="24"/>
        </w:rPr>
        <w:t>Dans</w:t>
      </w:r>
      <w:r>
        <w:rPr>
          <w:spacing w:val="-10"/>
          <w:sz w:val="24"/>
        </w:rPr>
        <w:t> </w:t>
      </w:r>
      <w:r>
        <w:rPr>
          <w:sz w:val="24"/>
        </w:rPr>
        <w:t>l’ensemble,</w:t>
      </w:r>
      <w:r>
        <w:rPr>
          <w:spacing w:val="-11"/>
          <w:sz w:val="24"/>
        </w:rPr>
        <w:t> </w:t>
      </w:r>
      <w:r>
        <w:rPr>
          <w:sz w:val="24"/>
        </w:rPr>
        <w:t>les</w:t>
      </w:r>
      <w:r>
        <w:rPr>
          <w:spacing w:val="-9"/>
          <w:sz w:val="24"/>
        </w:rPr>
        <w:t> </w:t>
      </w:r>
      <w:r>
        <w:rPr>
          <w:sz w:val="24"/>
        </w:rPr>
        <w:t>signes</w:t>
      </w:r>
      <w:r>
        <w:rPr>
          <w:spacing w:val="-10"/>
          <w:sz w:val="24"/>
        </w:rPr>
        <w:t> </w:t>
      </w:r>
      <w:r>
        <w:rPr>
          <w:sz w:val="24"/>
        </w:rPr>
        <w:t>présentent</w:t>
      </w:r>
      <w:r>
        <w:rPr>
          <w:spacing w:val="-11"/>
          <w:sz w:val="24"/>
        </w:rPr>
        <w:t> </w:t>
      </w:r>
      <w:r>
        <w:rPr>
          <w:sz w:val="24"/>
        </w:rPr>
        <w:t>un</w:t>
      </w:r>
      <w:r>
        <w:rPr>
          <w:spacing w:val="-11"/>
          <w:sz w:val="24"/>
        </w:rPr>
        <w:t> </w:t>
      </w:r>
      <w:r>
        <w:rPr>
          <w:sz w:val="24"/>
        </w:rPr>
        <w:t>degré</w:t>
      </w:r>
      <w:r>
        <w:rPr>
          <w:spacing w:val="-12"/>
          <w:sz w:val="24"/>
        </w:rPr>
        <w:t> </w:t>
      </w:r>
      <w:r>
        <w:rPr>
          <w:sz w:val="24"/>
        </w:rPr>
        <w:t>de</w:t>
      </w:r>
      <w:r>
        <w:rPr>
          <w:spacing w:val="-7"/>
          <w:sz w:val="24"/>
        </w:rPr>
        <w:t> </w:t>
      </w:r>
      <w:r>
        <w:rPr>
          <w:sz w:val="24"/>
        </w:rPr>
        <w:t>similitude</w:t>
      </w:r>
      <w:r>
        <w:rPr>
          <w:spacing w:val="-12"/>
          <w:sz w:val="24"/>
        </w:rPr>
        <w:t> </w:t>
      </w:r>
      <w:r>
        <w:rPr>
          <w:sz w:val="24"/>
        </w:rPr>
        <w:t>supérieur</w:t>
      </w:r>
      <w:r>
        <w:rPr>
          <w:spacing w:val="-11"/>
          <w:sz w:val="24"/>
        </w:rPr>
        <w:t> </w:t>
      </w:r>
      <w:r>
        <w:rPr>
          <w:sz w:val="24"/>
        </w:rPr>
        <w:t>à</w:t>
      </w:r>
      <w:r>
        <w:rPr>
          <w:spacing w:val="-9"/>
          <w:sz w:val="24"/>
        </w:rPr>
        <w:t> </w:t>
      </w:r>
      <w:r>
        <w:rPr>
          <w:sz w:val="24"/>
        </w:rPr>
        <w:t>la</w:t>
      </w:r>
      <w:r>
        <w:rPr>
          <w:spacing w:val="-9"/>
          <w:sz w:val="24"/>
        </w:rPr>
        <w:t> </w:t>
      </w:r>
      <w:r>
        <w:rPr>
          <w:sz w:val="24"/>
        </w:rPr>
        <w:t>moyenne. Bien qu’il existe certaines différences entre les signes, le caractère distinctif de l’élément commun et central «5» signifie que l’impact de ces différences doit être considéré comme limité et, en tout état de cause, non exagéré.</w:t>
      </w:r>
    </w:p>
    <w:p>
      <w:pPr>
        <w:pStyle w:val="BodyText"/>
        <w:spacing w:before="85"/>
      </w:pPr>
    </w:p>
    <w:p>
      <w:pPr>
        <w:spacing w:before="1"/>
        <w:ind w:left="590" w:right="0" w:firstLine="0"/>
        <w:jc w:val="left"/>
        <w:rPr>
          <w:i/>
          <w:sz w:val="24"/>
        </w:rPr>
      </w:pPr>
      <w:r>
        <w:rPr>
          <w:i/>
          <w:sz w:val="24"/>
        </w:rPr>
        <w:t>Comparaison des signes</w:t>
      </w:r>
      <w:r>
        <w:rPr>
          <w:i/>
          <w:spacing w:val="80"/>
          <w:sz w:val="24"/>
        </w:rPr>
        <w:t> </w:t>
      </w:r>
      <w:r>
        <w:rPr>
          <w:i/>
          <w:spacing w:val="14"/>
          <w:position w:val="5"/>
          <w:sz w:val="24"/>
        </w:rPr>
        <w:drawing>
          <wp:inline distT="0" distB="0" distL="0" distR="0">
            <wp:extent cx="138676" cy="205625"/>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8" cstate="print"/>
                    <a:stretch>
                      <a:fillRect/>
                    </a:stretch>
                  </pic:blipFill>
                  <pic:spPr>
                    <a:xfrm>
                      <a:off x="0" y="0"/>
                      <a:ext cx="138676" cy="205625"/>
                    </a:xfrm>
                    <a:prstGeom prst="rect">
                      <a:avLst/>
                    </a:prstGeom>
                  </pic:spPr>
                </pic:pic>
              </a:graphicData>
            </a:graphic>
          </wp:inline>
        </w:drawing>
      </w:r>
      <w:r>
        <w:rPr>
          <w:i/>
          <w:spacing w:val="14"/>
          <w:position w:val="5"/>
          <w:sz w:val="24"/>
        </w:rPr>
      </w:r>
      <w:r>
        <w:rPr>
          <w:spacing w:val="65"/>
          <w:sz w:val="24"/>
        </w:rPr>
        <w:t> </w:t>
      </w:r>
      <w:r>
        <w:rPr>
          <w:i/>
          <w:sz w:val="24"/>
        </w:rPr>
        <w:t>et </w:t>
      </w:r>
      <w:r>
        <w:rPr>
          <w:i/>
          <w:spacing w:val="1"/>
          <w:sz w:val="24"/>
        </w:rPr>
        <w:drawing>
          <wp:inline distT="0" distB="0" distL="0" distR="0">
            <wp:extent cx="186029" cy="278130"/>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7" cstate="print"/>
                    <a:stretch>
                      <a:fillRect/>
                    </a:stretch>
                  </pic:blipFill>
                  <pic:spPr>
                    <a:xfrm>
                      <a:off x="0" y="0"/>
                      <a:ext cx="186029" cy="278130"/>
                    </a:xfrm>
                    <a:prstGeom prst="rect">
                      <a:avLst/>
                    </a:prstGeom>
                  </pic:spPr>
                </pic:pic>
              </a:graphicData>
            </a:graphic>
          </wp:inline>
        </w:drawing>
      </w:r>
      <w:r>
        <w:rPr>
          <w:i/>
          <w:spacing w:val="1"/>
          <w:sz w:val="24"/>
        </w:rPr>
      </w:r>
    </w:p>
    <w:p>
      <w:pPr>
        <w:pStyle w:val="ListParagraph"/>
        <w:numPr>
          <w:ilvl w:val="0"/>
          <w:numId w:val="4"/>
        </w:numPr>
        <w:tabs>
          <w:tab w:pos="1015" w:val="left" w:leader="none"/>
          <w:tab w:pos="1017" w:val="left" w:leader="none"/>
        </w:tabs>
        <w:spacing w:line="240" w:lineRule="auto" w:before="239" w:after="0"/>
        <w:ind w:left="1017" w:right="160" w:hanging="428"/>
        <w:jc w:val="both"/>
        <w:rPr>
          <w:sz w:val="24"/>
        </w:rPr>
      </w:pPr>
      <w:r>
        <w:rPr>
          <w:sz w:val="24"/>
        </w:rPr>
        <w:t>Sur le plan visuel, les deux signes sont composés d’un seul et même nombre: le nombre «5». L’élément additionnel du signe contesté, qui se confond avec la ligne supérieure</w:t>
      </w:r>
      <w:r>
        <w:rPr>
          <w:spacing w:val="-3"/>
          <w:sz w:val="24"/>
        </w:rPr>
        <w:t> </w:t>
      </w:r>
      <w:r>
        <w:rPr>
          <w:sz w:val="24"/>
        </w:rPr>
        <w:t>du</w:t>
      </w:r>
      <w:r>
        <w:rPr>
          <w:spacing w:val="-3"/>
          <w:sz w:val="24"/>
        </w:rPr>
        <w:t> </w:t>
      </w:r>
      <w:r>
        <w:rPr>
          <w:sz w:val="24"/>
        </w:rPr>
        <w:t>chiffre «5»,</w:t>
      </w:r>
      <w:r>
        <w:rPr>
          <w:spacing w:val="-3"/>
          <w:sz w:val="24"/>
        </w:rPr>
        <w:t> </w:t>
      </w:r>
      <w:r>
        <w:rPr>
          <w:sz w:val="24"/>
        </w:rPr>
        <w:t>est</w:t>
      </w:r>
      <w:r>
        <w:rPr>
          <w:spacing w:val="-3"/>
          <w:sz w:val="24"/>
        </w:rPr>
        <w:t> </w:t>
      </w:r>
      <w:r>
        <w:rPr>
          <w:sz w:val="24"/>
        </w:rPr>
        <w:t>certes</w:t>
      </w:r>
      <w:r>
        <w:rPr>
          <w:spacing w:val="-3"/>
          <w:sz w:val="24"/>
        </w:rPr>
        <w:t> </w:t>
      </w:r>
      <w:r>
        <w:rPr>
          <w:sz w:val="24"/>
        </w:rPr>
        <w:t>inhabituel</w:t>
      </w:r>
      <w:r>
        <w:rPr>
          <w:spacing w:val="-3"/>
          <w:sz w:val="24"/>
        </w:rPr>
        <w:t> </w:t>
      </w:r>
      <w:r>
        <w:rPr>
          <w:sz w:val="24"/>
        </w:rPr>
        <w:t>dans</w:t>
      </w:r>
      <w:r>
        <w:rPr>
          <w:spacing w:val="-3"/>
          <w:sz w:val="24"/>
        </w:rPr>
        <w:t> </w:t>
      </w:r>
      <w:r>
        <w:rPr>
          <w:sz w:val="24"/>
        </w:rPr>
        <w:t>la</w:t>
      </w:r>
      <w:r>
        <w:rPr>
          <w:spacing w:val="-3"/>
          <w:sz w:val="24"/>
        </w:rPr>
        <w:t> </w:t>
      </w:r>
      <w:r>
        <w:rPr>
          <w:sz w:val="24"/>
        </w:rPr>
        <w:t>représentation</w:t>
      </w:r>
      <w:r>
        <w:rPr>
          <w:spacing w:val="-3"/>
          <w:sz w:val="24"/>
        </w:rPr>
        <w:t> </w:t>
      </w:r>
      <w:r>
        <w:rPr>
          <w:sz w:val="24"/>
        </w:rPr>
        <w:t>du</w:t>
      </w:r>
      <w:r>
        <w:rPr>
          <w:spacing w:val="-3"/>
          <w:sz w:val="24"/>
        </w:rPr>
        <w:t> </w:t>
      </w:r>
      <w:r>
        <w:rPr>
          <w:sz w:val="24"/>
        </w:rPr>
        <w:t>nombre</w:t>
      </w:r>
      <w:r>
        <w:rPr>
          <w:spacing w:val="-1"/>
          <w:sz w:val="24"/>
        </w:rPr>
        <w:t> </w:t>
      </w:r>
      <w:r>
        <w:rPr>
          <w:sz w:val="24"/>
        </w:rPr>
        <w:t>«5». Toutefois, dans l’impression d’ensemble produite par ce signe, cet élément additionnel ne se détache pas aux yeux du public pertinent comme ayant une signification</w:t>
      </w:r>
      <w:r>
        <w:rPr>
          <w:spacing w:val="-15"/>
          <w:sz w:val="24"/>
        </w:rPr>
        <w:t> </w:t>
      </w:r>
      <w:r>
        <w:rPr>
          <w:sz w:val="24"/>
        </w:rPr>
        <w:t>concrète.</w:t>
      </w:r>
      <w:r>
        <w:rPr>
          <w:spacing w:val="-15"/>
          <w:sz w:val="24"/>
        </w:rPr>
        <w:t> </w:t>
      </w:r>
      <w:r>
        <w:rPr>
          <w:sz w:val="24"/>
        </w:rPr>
        <w:t>Cet</w:t>
      </w:r>
      <w:r>
        <w:rPr>
          <w:spacing w:val="-15"/>
          <w:sz w:val="24"/>
        </w:rPr>
        <w:t> </w:t>
      </w:r>
      <w:r>
        <w:rPr>
          <w:sz w:val="24"/>
        </w:rPr>
        <w:t>élément</w:t>
      </w:r>
      <w:r>
        <w:rPr>
          <w:spacing w:val="-15"/>
          <w:sz w:val="24"/>
        </w:rPr>
        <w:t> </w:t>
      </w:r>
      <w:r>
        <w:rPr>
          <w:sz w:val="24"/>
        </w:rPr>
        <w:t>supplémentaire</w:t>
      </w:r>
      <w:r>
        <w:rPr>
          <w:spacing w:val="-15"/>
          <w:sz w:val="24"/>
        </w:rPr>
        <w:t> </w:t>
      </w:r>
      <w:r>
        <w:rPr>
          <w:sz w:val="24"/>
        </w:rPr>
        <w:t>est</w:t>
      </w:r>
      <w:r>
        <w:rPr>
          <w:spacing w:val="-15"/>
          <w:sz w:val="24"/>
        </w:rPr>
        <w:t> </w:t>
      </w:r>
      <w:r>
        <w:rPr>
          <w:sz w:val="24"/>
        </w:rPr>
        <w:t>susceptible</w:t>
      </w:r>
      <w:r>
        <w:rPr>
          <w:spacing w:val="-15"/>
          <w:sz w:val="24"/>
        </w:rPr>
        <w:t> </w:t>
      </w:r>
      <w:r>
        <w:rPr>
          <w:sz w:val="24"/>
        </w:rPr>
        <w:t>d’être</w:t>
      </w:r>
      <w:r>
        <w:rPr>
          <w:spacing w:val="-15"/>
          <w:sz w:val="24"/>
        </w:rPr>
        <w:t> </w:t>
      </w:r>
      <w:r>
        <w:rPr>
          <w:sz w:val="24"/>
        </w:rPr>
        <w:t>perçu</w:t>
      </w:r>
      <w:r>
        <w:rPr>
          <w:spacing w:val="-15"/>
          <w:sz w:val="24"/>
        </w:rPr>
        <w:t> </w:t>
      </w:r>
      <w:r>
        <w:rPr>
          <w:sz w:val="24"/>
        </w:rPr>
        <w:t>comme suit: I) soit comme purement graphique ou ornemental, sans aucune signification, ii) comme la représentation graphique d’éléments réels tels que les soies d’une brosse (pour</w:t>
      </w:r>
      <w:r>
        <w:rPr>
          <w:spacing w:val="-4"/>
          <w:sz w:val="24"/>
        </w:rPr>
        <w:t> </w:t>
      </w:r>
      <w:r>
        <w:rPr>
          <w:sz w:val="24"/>
        </w:rPr>
        <w:t>poudre</w:t>
      </w:r>
      <w:r>
        <w:rPr>
          <w:spacing w:val="-3"/>
          <w:sz w:val="24"/>
        </w:rPr>
        <w:t> </w:t>
      </w:r>
      <w:r>
        <w:rPr>
          <w:sz w:val="24"/>
        </w:rPr>
        <w:t>ou</w:t>
      </w:r>
      <w:r>
        <w:rPr>
          <w:spacing w:val="-2"/>
          <w:sz w:val="24"/>
        </w:rPr>
        <w:t> </w:t>
      </w:r>
      <w:r>
        <w:rPr>
          <w:sz w:val="24"/>
        </w:rPr>
        <w:t>vernis)</w:t>
      </w:r>
      <w:r>
        <w:rPr>
          <w:spacing w:val="-3"/>
          <w:sz w:val="24"/>
        </w:rPr>
        <w:t> </w:t>
      </w:r>
      <w:r>
        <w:rPr>
          <w:sz w:val="24"/>
        </w:rPr>
        <w:t>ou</w:t>
      </w:r>
      <w:r>
        <w:rPr>
          <w:spacing w:val="-2"/>
          <w:sz w:val="24"/>
        </w:rPr>
        <w:t> </w:t>
      </w:r>
      <w:r>
        <w:rPr>
          <w:sz w:val="24"/>
        </w:rPr>
        <w:t>une</w:t>
      </w:r>
      <w:r>
        <w:rPr>
          <w:spacing w:val="-3"/>
          <w:sz w:val="24"/>
        </w:rPr>
        <w:t> </w:t>
      </w:r>
      <w:r>
        <w:rPr>
          <w:sz w:val="24"/>
        </w:rPr>
        <w:t>brosse</w:t>
      </w:r>
      <w:r>
        <w:rPr>
          <w:spacing w:val="-3"/>
          <w:sz w:val="24"/>
        </w:rPr>
        <w:t> </w:t>
      </w:r>
      <w:r>
        <w:rPr>
          <w:sz w:val="24"/>
        </w:rPr>
        <w:t>pour</w:t>
      </w:r>
      <w:r>
        <w:rPr>
          <w:spacing w:val="-1"/>
          <w:sz w:val="24"/>
        </w:rPr>
        <w:t> </w:t>
      </w:r>
      <w:r>
        <w:rPr>
          <w:sz w:val="24"/>
        </w:rPr>
        <w:t>cils</w:t>
      </w:r>
      <w:r>
        <w:rPr>
          <w:spacing w:val="-1"/>
          <w:sz w:val="24"/>
        </w:rPr>
        <w:t> </w:t>
      </w:r>
      <w:r>
        <w:rPr>
          <w:sz w:val="24"/>
        </w:rPr>
        <w:t>— ce</w:t>
      </w:r>
      <w:r>
        <w:rPr>
          <w:spacing w:val="-3"/>
          <w:sz w:val="24"/>
        </w:rPr>
        <w:t> </w:t>
      </w:r>
      <w:r>
        <w:rPr>
          <w:sz w:val="24"/>
        </w:rPr>
        <w:t>qui semble</w:t>
      </w:r>
      <w:r>
        <w:rPr>
          <w:spacing w:val="-3"/>
          <w:sz w:val="24"/>
        </w:rPr>
        <w:t> </w:t>
      </w:r>
      <w:r>
        <w:rPr>
          <w:sz w:val="24"/>
        </w:rPr>
        <w:t>probable</w:t>
      </w:r>
      <w:r>
        <w:rPr>
          <w:spacing w:val="-1"/>
          <w:sz w:val="24"/>
        </w:rPr>
        <w:t> </w:t>
      </w:r>
      <w:r>
        <w:rPr>
          <w:sz w:val="24"/>
        </w:rPr>
        <w:t>puisque</w:t>
      </w:r>
      <w:r>
        <w:rPr>
          <w:spacing w:val="-3"/>
          <w:sz w:val="24"/>
        </w:rPr>
        <w:t> </w:t>
      </w:r>
      <w:r>
        <w:rPr>
          <w:sz w:val="24"/>
        </w:rPr>
        <w:t>le signe est destiné à être apposé sur des produits cosmétiques, iii) soit comme la représentation d’une lettre, comme un «m» ou un «n».</w:t>
      </w:r>
    </w:p>
    <w:p>
      <w:pPr>
        <w:pStyle w:val="ListParagraph"/>
        <w:numPr>
          <w:ilvl w:val="0"/>
          <w:numId w:val="4"/>
        </w:numPr>
        <w:tabs>
          <w:tab w:pos="1015" w:val="left" w:leader="none"/>
          <w:tab w:pos="1017" w:val="left" w:leader="none"/>
        </w:tabs>
        <w:spacing w:line="240" w:lineRule="auto" w:before="240" w:after="0"/>
        <w:ind w:left="1017" w:right="159" w:hanging="428"/>
        <w:jc w:val="both"/>
        <w:rPr>
          <w:sz w:val="24"/>
        </w:rPr>
      </w:pPr>
      <w:r>
        <w:rPr>
          <w:sz w:val="24"/>
        </w:rPr>
        <w:t>Il n’existe aucun moyen de savoir quelle représentation est plus susceptible d’être perçue</w:t>
      </w:r>
      <w:r>
        <w:rPr>
          <w:spacing w:val="-12"/>
          <w:sz w:val="24"/>
        </w:rPr>
        <w:t> </w:t>
      </w:r>
      <w:r>
        <w:rPr>
          <w:sz w:val="24"/>
        </w:rPr>
        <w:t>par</w:t>
      </w:r>
      <w:r>
        <w:rPr>
          <w:spacing w:val="-11"/>
          <w:sz w:val="24"/>
        </w:rPr>
        <w:t> </w:t>
      </w:r>
      <w:r>
        <w:rPr>
          <w:sz w:val="24"/>
        </w:rPr>
        <w:t>le</w:t>
      </w:r>
      <w:r>
        <w:rPr>
          <w:spacing w:val="-11"/>
          <w:sz w:val="24"/>
        </w:rPr>
        <w:t> </w:t>
      </w:r>
      <w:r>
        <w:rPr>
          <w:sz w:val="24"/>
        </w:rPr>
        <w:t>public</w:t>
      </w:r>
      <w:r>
        <w:rPr>
          <w:spacing w:val="-12"/>
          <w:sz w:val="24"/>
        </w:rPr>
        <w:t> </w:t>
      </w:r>
      <w:r>
        <w:rPr>
          <w:sz w:val="24"/>
        </w:rPr>
        <w:t>pertinent</w:t>
      </w:r>
      <w:r>
        <w:rPr>
          <w:spacing w:val="-10"/>
          <w:sz w:val="24"/>
        </w:rPr>
        <w:t> </w:t>
      </w:r>
      <w:r>
        <w:rPr>
          <w:sz w:val="24"/>
        </w:rPr>
        <w:t>et,</w:t>
      </w:r>
      <w:r>
        <w:rPr>
          <w:spacing w:val="-10"/>
          <w:sz w:val="24"/>
        </w:rPr>
        <w:t> </w:t>
      </w:r>
      <w:r>
        <w:rPr>
          <w:sz w:val="24"/>
        </w:rPr>
        <w:t>en</w:t>
      </w:r>
      <w:r>
        <w:rPr>
          <w:spacing w:val="-11"/>
          <w:sz w:val="24"/>
        </w:rPr>
        <w:t> </w:t>
      </w:r>
      <w:r>
        <w:rPr>
          <w:sz w:val="24"/>
        </w:rPr>
        <w:t>tout</w:t>
      </w:r>
      <w:r>
        <w:rPr>
          <w:spacing w:val="-10"/>
          <w:sz w:val="24"/>
        </w:rPr>
        <w:t> </w:t>
      </w:r>
      <w:r>
        <w:rPr>
          <w:sz w:val="24"/>
        </w:rPr>
        <w:t>état</w:t>
      </w:r>
      <w:r>
        <w:rPr>
          <w:spacing w:val="-11"/>
          <w:sz w:val="24"/>
        </w:rPr>
        <w:t> </w:t>
      </w:r>
      <w:r>
        <w:rPr>
          <w:sz w:val="24"/>
        </w:rPr>
        <w:t>de</w:t>
      </w:r>
      <w:r>
        <w:rPr>
          <w:spacing w:val="-12"/>
          <w:sz w:val="24"/>
        </w:rPr>
        <w:t> </w:t>
      </w:r>
      <w:r>
        <w:rPr>
          <w:sz w:val="24"/>
        </w:rPr>
        <w:t>cause,</w:t>
      </w:r>
      <w:r>
        <w:rPr>
          <w:spacing w:val="-11"/>
          <w:sz w:val="24"/>
        </w:rPr>
        <w:t> </w:t>
      </w:r>
      <w:r>
        <w:rPr>
          <w:sz w:val="24"/>
        </w:rPr>
        <w:t>d’affirmer</w:t>
      </w:r>
      <w:r>
        <w:rPr>
          <w:spacing w:val="-11"/>
          <w:sz w:val="24"/>
        </w:rPr>
        <w:t> </w:t>
      </w:r>
      <w:r>
        <w:rPr>
          <w:sz w:val="24"/>
        </w:rPr>
        <w:t>que</w:t>
      </w:r>
      <w:r>
        <w:rPr>
          <w:spacing w:val="-12"/>
          <w:sz w:val="24"/>
        </w:rPr>
        <w:t> </w:t>
      </w:r>
      <w:r>
        <w:rPr>
          <w:sz w:val="24"/>
        </w:rPr>
        <w:t>celui-ci</w:t>
      </w:r>
      <w:r>
        <w:rPr>
          <w:spacing w:val="-10"/>
          <w:sz w:val="24"/>
        </w:rPr>
        <w:t> </w:t>
      </w:r>
      <w:r>
        <w:rPr>
          <w:sz w:val="24"/>
        </w:rPr>
        <w:t>percevra nécessairement</w:t>
      </w:r>
      <w:r>
        <w:rPr>
          <w:spacing w:val="-14"/>
          <w:sz w:val="24"/>
        </w:rPr>
        <w:t> </w:t>
      </w:r>
      <w:r>
        <w:rPr>
          <w:sz w:val="24"/>
        </w:rPr>
        <w:t>ou</w:t>
      </w:r>
      <w:r>
        <w:rPr>
          <w:spacing w:val="-14"/>
          <w:sz w:val="24"/>
        </w:rPr>
        <w:t> </w:t>
      </w:r>
      <w:r>
        <w:rPr>
          <w:sz w:val="24"/>
        </w:rPr>
        <w:t>principalement</w:t>
      </w:r>
      <w:r>
        <w:rPr>
          <w:spacing w:val="-14"/>
          <w:sz w:val="24"/>
        </w:rPr>
        <w:t> </w:t>
      </w:r>
      <w:r>
        <w:rPr>
          <w:sz w:val="24"/>
        </w:rPr>
        <w:t>l’élément</w:t>
      </w:r>
      <w:r>
        <w:rPr>
          <w:spacing w:val="-14"/>
          <w:sz w:val="24"/>
        </w:rPr>
        <w:t> </w:t>
      </w:r>
      <w:r>
        <w:rPr>
          <w:sz w:val="24"/>
        </w:rPr>
        <w:t>additionnel</w:t>
      </w:r>
      <w:r>
        <w:rPr>
          <w:spacing w:val="-14"/>
          <w:sz w:val="24"/>
        </w:rPr>
        <w:t> </w:t>
      </w:r>
      <w:r>
        <w:rPr>
          <w:sz w:val="24"/>
        </w:rPr>
        <w:t>comme</w:t>
      </w:r>
      <w:r>
        <w:rPr>
          <w:spacing w:val="-15"/>
          <w:sz w:val="24"/>
        </w:rPr>
        <w:t> </w:t>
      </w:r>
      <w:r>
        <w:rPr>
          <w:sz w:val="24"/>
        </w:rPr>
        <w:t>une</w:t>
      </w:r>
      <w:r>
        <w:rPr>
          <w:spacing w:val="-13"/>
          <w:sz w:val="24"/>
        </w:rPr>
        <w:t> </w:t>
      </w:r>
      <w:r>
        <w:rPr>
          <w:sz w:val="24"/>
        </w:rPr>
        <w:t>représentation</w:t>
      </w:r>
      <w:r>
        <w:rPr>
          <w:spacing w:val="-14"/>
          <w:sz w:val="24"/>
        </w:rPr>
        <w:t> </w:t>
      </w:r>
      <w:r>
        <w:rPr>
          <w:sz w:val="24"/>
        </w:rPr>
        <w:t>de la lettre «m» ou «n». La demanderesse n’a fourni aucune preuve en ce sens et la demande d’enregistrement ne fournit aucune description du signe.</w:t>
      </w:r>
    </w:p>
    <w:p>
      <w:pPr>
        <w:pStyle w:val="ListParagraph"/>
        <w:numPr>
          <w:ilvl w:val="0"/>
          <w:numId w:val="4"/>
        </w:numPr>
        <w:tabs>
          <w:tab w:pos="1015" w:val="left" w:leader="none"/>
          <w:tab w:pos="1017" w:val="left" w:leader="none"/>
        </w:tabs>
        <w:spacing w:line="240" w:lineRule="auto" w:before="238" w:after="0"/>
        <w:ind w:left="1017" w:right="163" w:hanging="428"/>
        <w:jc w:val="both"/>
        <w:rPr>
          <w:sz w:val="24"/>
        </w:rPr>
      </w:pPr>
      <w:r>
        <w:rPr>
          <w:sz w:val="24"/>
        </w:rPr>
        <w:t>Cet élément additionnel, bien qu’il ne soit pas négligeable dans l’impression d’ensemble produite par le signe contesté, a une importance limitée en raison de sa position secondaire dans l’impression d’ensemble et de sa fusion avec la ligne supérieure du chiffre «5», cet élément ne</w:t>
      </w:r>
      <w:r>
        <w:rPr>
          <w:spacing w:val="-1"/>
          <w:sz w:val="24"/>
        </w:rPr>
        <w:t> </w:t>
      </w:r>
      <w:r>
        <w:rPr>
          <w:sz w:val="24"/>
        </w:rPr>
        <w:t>pouvant, à</w:t>
      </w:r>
      <w:r>
        <w:rPr>
          <w:spacing w:val="-1"/>
          <w:sz w:val="24"/>
        </w:rPr>
        <w:t> </w:t>
      </w:r>
      <w:r>
        <w:rPr>
          <w:sz w:val="24"/>
        </w:rPr>
        <w:t>lui seul, détourner l’attention du public pertinent concerné de la représentation, certes stylisée mais claire, du chiffre</w:t>
      </w:r>
    </w:p>
    <w:p>
      <w:pPr>
        <w:pStyle w:val="BodyText"/>
        <w:ind w:left="1017"/>
      </w:pPr>
      <w:r>
        <w:rPr>
          <w:spacing w:val="-4"/>
        </w:rPr>
        <w:t>«5».</w:t>
      </w:r>
    </w:p>
    <w:p>
      <w:pPr>
        <w:pStyle w:val="ListParagraph"/>
        <w:numPr>
          <w:ilvl w:val="0"/>
          <w:numId w:val="4"/>
        </w:numPr>
        <w:tabs>
          <w:tab w:pos="1015" w:val="left" w:leader="none"/>
          <w:tab w:pos="1017" w:val="left" w:leader="none"/>
        </w:tabs>
        <w:spacing w:line="240" w:lineRule="auto" w:before="240" w:after="0"/>
        <w:ind w:left="1017" w:right="162" w:hanging="428"/>
        <w:jc w:val="both"/>
        <w:rPr>
          <w:sz w:val="24"/>
        </w:rPr>
      </w:pPr>
      <w:r>
        <w:rPr>
          <w:sz w:val="24"/>
        </w:rPr>
        <w:t>Les</w:t>
      </w:r>
      <w:r>
        <w:rPr>
          <w:spacing w:val="-9"/>
          <w:sz w:val="24"/>
        </w:rPr>
        <w:t> </w:t>
      </w:r>
      <w:r>
        <w:rPr>
          <w:sz w:val="24"/>
        </w:rPr>
        <w:t>signes</w:t>
      </w:r>
      <w:r>
        <w:rPr>
          <w:spacing w:val="-9"/>
          <w:sz w:val="24"/>
        </w:rPr>
        <w:t> </w:t>
      </w:r>
      <w:r>
        <w:rPr>
          <w:sz w:val="24"/>
        </w:rPr>
        <w:t>doivent</w:t>
      </w:r>
      <w:r>
        <w:rPr>
          <w:spacing w:val="-9"/>
          <w:sz w:val="24"/>
        </w:rPr>
        <w:t> </w:t>
      </w:r>
      <w:r>
        <w:rPr>
          <w:sz w:val="24"/>
        </w:rPr>
        <w:t>être</w:t>
      </w:r>
      <w:r>
        <w:rPr>
          <w:spacing w:val="-9"/>
          <w:sz w:val="24"/>
        </w:rPr>
        <w:t> </w:t>
      </w:r>
      <w:r>
        <w:rPr>
          <w:sz w:val="24"/>
        </w:rPr>
        <w:t>considérés</w:t>
      </w:r>
      <w:r>
        <w:rPr>
          <w:spacing w:val="-9"/>
          <w:sz w:val="24"/>
        </w:rPr>
        <w:t> </w:t>
      </w:r>
      <w:r>
        <w:rPr>
          <w:sz w:val="24"/>
        </w:rPr>
        <w:t>comme</w:t>
      </w:r>
      <w:r>
        <w:rPr>
          <w:spacing w:val="-9"/>
          <w:sz w:val="24"/>
        </w:rPr>
        <w:t> </w:t>
      </w:r>
      <w:r>
        <w:rPr>
          <w:sz w:val="24"/>
        </w:rPr>
        <w:t>visuellement</w:t>
      </w:r>
      <w:r>
        <w:rPr>
          <w:spacing w:val="-9"/>
          <w:sz w:val="24"/>
        </w:rPr>
        <w:t> </w:t>
      </w:r>
      <w:r>
        <w:rPr>
          <w:sz w:val="24"/>
        </w:rPr>
        <w:t>similaires</w:t>
      </w:r>
      <w:r>
        <w:rPr>
          <w:spacing w:val="-9"/>
          <w:sz w:val="24"/>
        </w:rPr>
        <w:t> </w:t>
      </w:r>
      <w:r>
        <w:rPr>
          <w:sz w:val="24"/>
        </w:rPr>
        <w:t>à</w:t>
      </w:r>
      <w:r>
        <w:rPr>
          <w:spacing w:val="-9"/>
          <w:sz w:val="24"/>
        </w:rPr>
        <w:t> </w:t>
      </w:r>
      <w:r>
        <w:rPr>
          <w:sz w:val="24"/>
        </w:rPr>
        <w:t>un</w:t>
      </w:r>
      <w:r>
        <w:rPr>
          <w:spacing w:val="-9"/>
          <w:sz w:val="24"/>
        </w:rPr>
        <w:t> </w:t>
      </w:r>
      <w:r>
        <w:rPr>
          <w:sz w:val="24"/>
        </w:rPr>
        <w:t>degré</w:t>
      </w:r>
      <w:r>
        <w:rPr>
          <w:spacing w:val="-10"/>
          <w:sz w:val="24"/>
        </w:rPr>
        <w:t> </w:t>
      </w:r>
      <w:r>
        <w:rPr>
          <w:sz w:val="24"/>
        </w:rPr>
        <w:t>élevé,</w:t>
      </w:r>
      <w:r>
        <w:rPr>
          <w:spacing w:val="-9"/>
          <w:sz w:val="24"/>
        </w:rPr>
        <w:t> </w:t>
      </w:r>
      <w:r>
        <w:rPr>
          <w:sz w:val="24"/>
        </w:rPr>
        <w:t>et au moins à un degré variant de élevé à moyen. Le caractère distinctif et proéminent de l’élément commun et central «5» signifie que l’impact visuel de leurs différences doit être considéré comme limité. En considérant que les signes ne présentent qu’un degré</w:t>
      </w:r>
      <w:r>
        <w:rPr>
          <w:spacing w:val="-3"/>
          <w:sz w:val="24"/>
        </w:rPr>
        <w:t> </w:t>
      </w:r>
      <w:r>
        <w:rPr>
          <w:sz w:val="24"/>
        </w:rPr>
        <w:t>de</w:t>
      </w:r>
      <w:r>
        <w:rPr>
          <w:spacing w:val="-2"/>
          <w:sz w:val="24"/>
        </w:rPr>
        <w:t> </w:t>
      </w:r>
      <w:r>
        <w:rPr>
          <w:sz w:val="24"/>
        </w:rPr>
        <w:t>similitude</w:t>
      </w:r>
      <w:r>
        <w:rPr>
          <w:spacing w:val="-2"/>
          <w:sz w:val="24"/>
        </w:rPr>
        <w:t> </w:t>
      </w:r>
      <w:r>
        <w:rPr>
          <w:sz w:val="24"/>
        </w:rPr>
        <w:t>inférieur</w:t>
      </w:r>
      <w:r>
        <w:rPr>
          <w:spacing w:val="-2"/>
          <w:sz w:val="24"/>
        </w:rPr>
        <w:t> </w:t>
      </w:r>
      <w:r>
        <w:rPr>
          <w:sz w:val="24"/>
        </w:rPr>
        <w:t>à</w:t>
      </w:r>
      <w:r>
        <w:rPr>
          <w:spacing w:val="-2"/>
          <w:sz w:val="24"/>
        </w:rPr>
        <w:t> </w:t>
      </w:r>
      <w:r>
        <w:rPr>
          <w:sz w:val="24"/>
        </w:rPr>
        <w:t>la</w:t>
      </w:r>
      <w:r>
        <w:rPr>
          <w:spacing w:val="-2"/>
          <w:sz w:val="24"/>
        </w:rPr>
        <w:t> </w:t>
      </w:r>
      <w:r>
        <w:rPr>
          <w:sz w:val="24"/>
        </w:rPr>
        <w:t>moyenne</w:t>
      </w:r>
      <w:r>
        <w:rPr>
          <w:spacing w:val="-2"/>
          <w:sz w:val="24"/>
        </w:rPr>
        <w:t> </w:t>
      </w:r>
      <w:r>
        <w:rPr>
          <w:sz w:val="24"/>
        </w:rPr>
        <w:t>sur</w:t>
      </w:r>
      <w:r>
        <w:rPr>
          <w:spacing w:val="-2"/>
          <w:sz w:val="24"/>
        </w:rPr>
        <w:t> </w:t>
      </w:r>
      <w:r>
        <w:rPr>
          <w:sz w:val="24"/>
        </w:rPr>
        <w:t>le</w:t>
      </w:r>
      <w:r>
        <w:rPr>
          <w:spacing w:val="-2"/>
          <w:sz w:val="24"/>
        </w:rPr>
        <w:t> </w:t>
      </w:r>
      <w:r>
        <w:rPr>
          <w:sz w:val="24"/>
        </w:rPr>
        <w:t>plan</w:t>
      </w:r>
      <w:r>
        <w:rPr>
          <w:spacing w:val="-2"/>
          <w:sz w:val="24"/>
        </w:rPr>
        <w:t> </w:t>
      </w:r>
      <w:r>
        <w:rPr>
          <w:sz w:val="24"/>
        </w:rPr>
        <w:t>visuel,</w:t>
      </w:r>
      <w:r>
        <w:rPr>
          <w:spacing w:val="-1"/>
          <w:sz w:val="24"/>
        </w:rPr>
        <w:t> </w:t>
      </w:r>
      <w:r>
        <w:rPr>
          <w:sz w:val="24"/>
        </w:rPr>
        <w:t>la</w:t>
      </w:r>
      <w:r>
        <w:rPr>
          <w:spacing w:val="-2"/>
          <w:sz w:val="24"/>
        </w:rPr>
        <w:t> </w:t>
      </w:r>
      <w:r>
        <w:rPr>
          <w:sz w:val="24"/>
        </w:rPr>
        <w:t>division</w:t>
      </w:r>
      <w:r>
        <w:rPr>
          <w:spacing w:val="-1"/>
          <w:sz w:val="24"/>
        </w:rPr>
        <w:t> </w:t>
      </w:r>
      <w:r>
        <w:rPr>
          <w:sz w:val="24"/>
        </w:rPr>
        <w:t>d’opposition</w:t>
      </w:r>
    </w:p>
    <w:p>
      <w:pPr>
        <w:pStyle w:val="BodyText"/>
        <w:rPr>
          <w:sz w:val="18"/>
        </w:rPr>
      </w:pPr>
    </w:p>
    <w:p>
      <w:pPr>
        <w:pStyle w:val="BodyText"/>
        <w:rPr>
          <w:sz w:val="18"/>
        </w:rPr>
      </w:pPr>
    </w:p>
    <w:p>
      <w:pPr>
        <w:pStyle w:val="BodyText"/>
        <w:spacing w:before="25"/>
        <w:rPr>
          <w:sz w:val="18"/>
        </w:rPr>
      </w:pPr>
    </w:p>
    <w:p>
      <w:pPr>
        <w:spacing w:before="0"/>
        <w:ind w:left="2737" w:right="2738" w:firstLine="0"/>
        <w:jc w:val="center"/>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p>
      <w:pPr>
        <w:spacing w:after="0"/>
        <w:jc w:val="center"/>
        <w:rPr>
          <w:sz w:val="18"/>
        </w:rPr>
        <w:sectPr>
          <w:pgSz w:w="11910" w:h="16840"/>
          <w:pgMar w:header="970" w:footer="0" w:top="1180" w:bottom="280" w:left="1275" w:right="1275"/>
        </w:sectPr>
      </w:pPr>
    </w:p>
    <w:p>
      <w:pPr>
        <w:pStyle w:val="BodyText"/>
        <w:spacing w:before="249"/>
        <w:ind w:left="1017" w:right="164"/>
      </w:pPr>
      <w:r>
        <w:rPr/>
        <mc:AlternateContent>
          <mc:Choice Requires="wps">
            <w:drawing>
              <wp:anchor distT="0" distB="0" distL="0" distR="0" allowOverlap="1" layoutInCell="1" locked="0" behindDoc="0" simplePos="0" relativeHeight="15735808">
                <wp:simplePos x="0" y="0"/>
                <wp:positionH relativeFrom="page">
                  <wp:posOffset>270575</wp:posOffset>
                </wp:positionH>
                <wp:positionV relativeFrom="page">
                  <wp:posOffset>1114363</wp:posOffset>
                </wp:positionV>
                <wp:extent cx="146050" cy="921004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46050" cy="9210040"/>
                        </a:xfrm>
                        <a:prstGeom prst="rect">
                          <a:avLst/>
                        </a:prstGeom>
                      </wps:spPr>
                      <wps:txbx>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wps:txbx>
                      <wps:bodyPr wrap="square" lIns="0" tIns="0" rIns="0" bIns="0" rtlCol="0" vert="vert270">
                        <a:noAutofit/>
                      </wps:bodyPr>
                    </wps:wsp>
                  </a:graphicData>
                </a:graphic>
              </wp:anchor>
            </w:drawing>
          </mc:Choice>
          <mc:Fallback>
            <w:pict>
              <v:shape style="position:absolute;margin-left:21.305176pt;margin-top:87.745193pt;width:11.5pt;height:725.2pt;mso-position-horizontal-relative:page;mso-position-vertical-relative:page;z-index:15735808" type="#_x0000_t202" id="docshape14" filled="false" stroked="false">
                <v:textbox inset="0,0,0,0" style="layout-flow:vertical;mso-layout-flow-alt:bottom-to-top">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v:textbox>
                <w10:wrap type="none"/>
              </v:shape>
            </w:pict>
          </mc:Fallback>
        </mc:AlternateContent>
      </w:r>
      <w:r>
        <w:rPr/>
        <w:t>a</w:t>
      </w:r>
      <w:r>
        <w:rPr>
          <w:spacing w:val="-9"/>
        </w:rPr>
        <w:t> </w:t>
      </w:r>
      <w:r>
        <w:rPr/>
        <w:t>accordé</w:t>
      </w:r>
      <w:r>
        <w:rPr>
          <w:spacing w:val="-10"/>
        </w:rPr>
        <w:t> </w:t>
      </w:r>
      <w:r>
        <w:rPr/>
        <w:t>une</w:t>
      </w:r>
      <w:r>
        <w:rPr>
          <w:spacing w:val="-9"/>
        </w:rPr>
        <w:t> </w:t>
      </w:r>
      <w:r>
        <w:rPr/>
        <w:t>importance</w:t>
      </w:r>
      <w:r>
        <w:rPr>
          <w:spacing w:val="-7"/>
        </w:rPr>
        <w:t> </w:t>
      </w:r>
      <w:r>
        <w:rPr/>
        <w:t>visuelle</w:t>
      </w:r>
      <w:r>
        <w:rPr>
          <w:spacing w:val="-9"/>
        </w:rPr>
        <w:t> </w:t>
      </w:r>
      <w:r>
        <w:rPr/>
        <w:t>excessive</w:t>
      </w:r>
      <w:r>
        <w:rPr>
          <w:spacing w:val="-9"/>
        </w:rPr>
        <w:t> </w:t>
      </w:r>
      <w:r>
        <w:rPr/>
        <w:t>à</w:t>
      </w:r>
      <w:r>
        <w:rPr>
          <w:spacing w:val="-9"/>
        </w:rPr>
        <w:t> </w:t>
      </w:r>
      <w:r>
        <w:rPr/>
        <w:t>l’élément</w:t>
      </w:r>
      <w:r>
        <w:rPr>
          <w:spacing w:val="-8"/>
        </w:rPr>
        <w:t> </w:t>
      </w:r>
      <w:r>
        <w:rPr/>
        <w:t>graphique</w:t>
      </w:r>
      <w:r>
        <w:rPr>
          <w:spacing w:val="-9"/>
        </w:rPr>
        <w:t> </w:t>
      </w:r>
      <w:r>
        <w:rPr/>
        <w:t>supplémentaire</w:t>
      </w:r>
      <w:r>
        <w:rPr>
          <w:spacing w:val="-9"/>
        </w:rPr>
        <w:t> </w:t>
      </w:r>
      <w:r>
        <w:rPr/>
        <w:t>du signe contesté.</w:t>
      </w:r>
    </w:p>
    <w:p>
      <w:pPr>
        <w:pStyle w:val="BodyText"/>
        <w:spacing w:before="84"/>
      </w:pPr>
    </w:p>
    <w:p>
      <w:pPr>
        <w:spacing w:before="0"/>
        <w:ind w:left="590" w:right="0" w:firstLine="0"/>
        <w:jc w:val="left"/>
        <w:rPr>
          <w:i/>
          <w:sz w:val="24"/>
        </w:rPr>
      </w:pPr>
      <w:r>
        <w:rPr>
          <w:i/>
          <w:sz w:val="24"/>
        </w:rPr>
        <w:t>Similitude</w:t>
      </w:r>
      <w:r>
        <w:rPr>
          <w:i/>
          <w:spacing w:val="-1"/>
          <w:sz w:val="24"/>
        </w:rPr>
        <w:t> </w:t>
      </w:r>
      <w:r>
        <w:rPr>
          <w:i/>
          <w:spacing w:val="-2"/>
          <w:sz w:val="24"/>
        </w:rPr>
        <w:t>phonétique</w:t>
      </w:r>
    </w:p>
    <w:p>
      <w:pPr>
        <w:pStyle w:val="ListParagraph"/>
        <w:numPr>
          <w:ilvl w:val="0"/>
          <w:numId w:val="4"/>
        </w:numPr>
        <w:tabs>
          <w:tab w:pos="1015" w:val="left" w:leader="none"/>
          <w:tab w:pos="1017" w:val="left" w:leader="none"/>
        </w:tabs>
        <w:spacing w:line="240" w:lineRule="auto" w:before="240" w:after="0"/>
        <w:ind w:left="1017" w:right="160" w:hanging="428"/>
        <w:jc w:val="both"/>
        <w:rPr>
          <w:sz w:val="24"/>
        </w:rPr>
      </w:pPr>
      <w:r>
        <w:rPr>
          <w:sz w:val="24"/>
        </w:rPr>
        <w:t>La marque antérieure est prononcée comme le nombre «5». Le signe contesté inclut nécessairement également la prononciation du nombre «5». Étant donné que son élément additionnel, constituant la première ligne du nombre «5», n’a pas de signification</w:t>
      </w:r>
      <w:r>
        <w:rPr>
          <w:spacing w:val="-8"/>
          <w:sz w:val="24"/>
        </w:rPr>
        <w:t> </w:t>
      </w:r>
      <w:r>
        <w:rPr>
          <w:sz w:val="24"/>
        </w:rPr>
        <w:t>obligatoire</w:t>
      </w:r>
      <w:r>
        <w:rPr>
          <w:spacing w:val="-8"/>
          <w:sz w:val="24"/>
        </w:rPr>
        <w:t> </w:t>
      </w:r>
      <w:r>
        <w:rPr>
          <w:sz w:val="24"/>
        </w:rPr>
        <w:t>ou</w:t>
      </w:r>
      <w:r>
        <w:rPr>
          <w:spacing w:val="-8"/>
          <w:sz w:val="24"/>
        </w:rPr>
        <w:t> </w:t>
      </w:r>
      <w:r>
        <w:rPr>
          <w:sz w:val="24"/>
        </w:rPr>
        <w:t>prédéterminée</w:t>
      </w:r>
      <w:r>
        <w:rPr>
          <w:spacing w:val="-9"/>
          <w:sz w:val="24"/>
        </w:rPr>
        <w:t> </w:t>
      </w:r>
      <w:r>
        <w:rPr>
          <w:sz w:val="24"/>
        </w:rPr>
        <w:t>pour</w:t>
      </w:r>
      <w:r>
        <w:rPr>
          <w:spacing w:val="-9"/>
          <w:sz w:val="24"/>
        </w:rPr>
        <w:t> </w:t>
      </w:r>
      <w:r>
        <w:rPr>
          <w:sz w:val="24"/>
        </w:rPr>
        <w:t>le</w:t>
      </w:r>
      <w:r>
        <w:rPr>
          <w:spacing w:val="-6"/>
          <w:sz w:val="24"/>
        </w:rPr>
        <w:t> </w:t>
      </w:r>
      <w:r>
        <w:rPr>
          <w:sz w:val="24"/>
        </w:rPr>
        <w:t>public</w:t>
      </w:r>
      <w:r>
        <w:rPr>
          <w:spacing w:val="-9"/>
          <w:sz w:val="24"/>
        </w:rPr>
        <w:t> </w:t>
      </w:r>
      <w:r>
        <w:rPr>
          <w:sz w:val="24"/>
        </w:rPr>
        <w:t>pertinent,</w:t>
      </w:r>
      <w:r>
        <w:rPr>
          <w:spacing w:val="-8"/>
          <w:sz w:val="24"/>
        </w:rPr>
        <w:t> </w:t>
      </w:r>
      <w:r>
        <w:rPr>
          <w:sz w:val="24"/>
        </w:rPr>
        <w:t>comme</w:t>
      </w:r>
      <w:r>
        <w:rPr>
          <w:spacing w:val="-9"/>
          <w:sz w:val="24"/>
        </w:rPr>
        <w:t> </w:t>
      </w:r>
      <w:r>
        <w:rPr>
          <w:sz w:val="24"/>
        </w:rPr>
        <w:t>il</w:t>
      </w:r>
      <w:r>
        <w:rPr>
          <w:spacing w:val="-8"/>
          <w:sz w:val="24"/>
        </w:rPr>
        <w:t> </w:t>
      </w:r>
      <w:r>
        <w:rPr>
          <w:sz w:val="24"/>
        </w:rPr>
        <w:t>a</w:t>
      </w:r>
      <w:r>
        <w:rPr>
          <w:spacing w:val="-9"/>
          <w:sz w:val="24"/>
        </w:rPr>
        <w:t> </w:t>
      </w:r>
      <w:r>
        <w:rPr>
          <w:sz w:val="24"/>
        </w:rPr>
        <w:t>été</w:t>
      </w:r>
      <w:r>
        <w:rPr>
          <w:spacing w:val="-9"/>
          <w:sz w:val="24"/>
        </w:rPr>
        <w:t> </w:t>
      </w:r>
      <w:r>
        <w:rPr>
          <w:sz w:val="24"/>
        </w:rPr>
        <w:t>dit, son importance phonétique est indéterminée.</w:t>
      </w:r>
    </w:p>
    <w:p>
      <w:pPr>
        <w:pStyle w:val="ListParagraph"/>
        <w:numPr>
          <w:ilvl w:val="0"/>
          <w:numId w:val="4"/>
        </w:numPr>
        <w:tabs>
          <w:tab w:pos="1015" w:val="left" w:leader="none"/>
          <w:tab w:pos="1017" w:val="left" w:leader="none"/>
        </w:tabs>
        <w:spacing w:line="240" w:lineRule="auto" w:before="238" w:after="0"/>
        <w:ind w:left="1017" w:right="162" w:hanging="428"/>
        <w:jc w:val="both"/>
        <w:rPr>
          <w:sz w:val="24"/>
        </w:rPr>
      </w:pPr>
      <w:r>
        <w:rPr>
          <w:sz w:val="24"/>
        </w:rPr>
        <w:t>Si</w:t>
      </w:r>
      <w:r>
        <w:rPr>
          <w:spacing w:val="-10"/>
          <w:sz w:val="24"/>
        </w:rPr>
        <w:t> </w:t>
      </w:r>
      <w:r>
        <w:rPr>
          <w:sz w:val="24"/>
        </w:rPr>
        <w:t>le</w:t>
      </w:r>
      <w:r>
        <w:rPr>
          <w:spacing w:val="-11"/>
          <w:sz w:val="24"/>
        </w:rPr>
        <w:t> </w:t>
      </w:r>
      <w:r>
        <w:rPr>
          <w:sz w:val="24"/>
        </w:rPr>
        <w:t>public</w:t>
      </w:r>
      <w:r>
        <w:rPr>
          <w:spacing w:val="-12"/>
          <w:sz w:val="24"/>
        </w:rPr>
        <w:t> </w:t>
      </w:r>
      <w:r>
        <w:rPr>
          <w:sz w:val="24"/>
        </w:rPr>
        <w:t>le</w:t>
      </w:r>
      <w:r>
        <w:rPr>
          <w:spacing w:val="-11"/>
          <w:sz w:val="24"/>
        </w:rPr>
        <w:t> </w:t>
      </w:r>
      <w:r>
        <w:rPr>
          <w:sz w:val="24"/>
        </w:rPr>
        <w:t>perçoit</w:t>
      </w:r>
      <w:r>
        <w:rPr>
          <w:spacing w:val="-10"/>
          <w:sz w:val="24"/>
        </w:rPr>
        <w:t> </w:t>
      </w:r>
      <w:r>
        <w:rPr>
          <w:sz w:val="24"/>
        </w:rPr>
        <w:t>comme</w:t>
      </w:r>
      <w:r>
        <w:rPr>
          <w:spacing w:val="-12"/>
          <w:sz w:val="24"/>
        </w:rPr>
        <w:t> </w:t>
      </w:r>
      <w:r>
        <w:rPr>
          <w:sz w:val="24"/>
        </w:rPr>
        <w:t>un</w:t>
      </w:r>
      <w:r>
        <w:rPr>
          <w:spacing w:val="-11"/>
          <w:sz w:val="24"/>
        </w:rPr>
        <w:t> </w:t>
      </w:r>
      <w:r>
        <w:rPr>
          <w:sz w:val="24"/>
        </w:rPr>
        <w:t>élément</w:t>
      </w:r>
      <w:r>
        <w:rPr>
          <w:spacing w:val="-10"/>
          <w:sz w:val="24"/>
        </w:rPr>
        <w:t> </w:t>
      </w:r>
      <w:r>
        <w:rPr>
          <w:sz w:val="24"/>
        </w:rPr>
        <w:t>purement</w:t>
      </w:r>
      <w:r>
        <w:rPr>
          <w:spacing w:val="-10"/>
          <w:sz w:val="24"/>
        </w:rPr>
        <w:t> </w:t>
      </w:r>
      <w:r>
        <w:rPr>
          <w:sz w:val="24"/>
        </w:rPr>
        <w:t>graphique,</w:t>
      </w:r>
      <w:r>
        <w:rPr>
          <w:spacing w:val="-11"/>
          <w:sz w:val="24"/>
        </w:rPr>
        <w:t> </w:t>
      </w:r>
      <w:r>
        <w:rPr>
          <w:sz w:val="24"/>
        </w:rPr>
        <w:t>parfaitement</w:t>
      </w:r>
      <w:r>
        <w:rPr>
          <w:spacing w:val="-10"/>
          <w:sz w:val="24"/>
        </w:rPr>
        <w:t> </w:t>
      </w:r>
      <w:r>
        <w:rPr>
          <w:sz w:val="24"/>
        </w:rPr>
        <w:t>arbitraire, ou comme la représentation graphique d’une partie d’un produit, comme les soies d’une brosse d’un produit cosmétique, cet élément n’est pas prononcé et sa position phonétique est inexistante.</w:t>
      </w:r>
    </w:p>
    <w:p>
      <w:pPr>
        <w:pStyle w:val="ListParagraph"/>
        <w:numPr>
          <w:ilvl w:val="0"/>
          <w:numId w:val="4"/>
        </w:numPr>
        <w:tabs>
          <w:tab w:pos="1015" w:val="left" w:leader="none"/>
          <w:tab w:pos="1017" w:val="left" w:leader="none"/>
        </w:tabs>
        <w:spacing w:line="240" w:lineRule="auto" w:before="240" w:after="0"/>
        <w:ind w:left="1017" w:right="160" w:hanging="428"/>
        <w:jc w:val="both"/>
        <w:rPr>
          <w:sz w:val="24"/>
        </w:rPr>
      </w:pPr>
      <w:r>
        <w:rPr>
          <w:sz w:val="24"/>
        </w:rPr>
        <w:t>Si elle est perçue comme représentant la lettre «m» ou «n», la question se pose de savoir si, compte tenu de sa position secondaire dans l’impression d’ensemble produite par le signe, le public prononcera effectivement 5-M manifester or 5-N énonciations. Or, rien n’indique que tel soit le cas.</w:t>
      </w:r>
    </w:p>
    <w:p>
      <w:pPr>
        <w:pStyle w:val="ListParagraph"/>
        <w:numPr>
          <w:ilvl w:val="0"/>
          <w:numId w:val="4"/>
        </w:numPr>
        <w:tabs>
          <w:tab w:pos="1015" w:val="left" w:leader="none"/>
          <w:tab w:pos="1017" w:val="left" w:leader="none"/>
        </w:tabs>
        <w:spacing w:line="240" w:lineRule="auto" w:before="239" w:after="0"/>
        <w:ind w:left="1017" w:right="163" w:hanging="428"/>
        <w:jc w:val="both"/>
        <w:rPr>
          <w:sz w:val="24"/>
        </w:rPr>
      </w:pPr>
      <w:r>
        <w:rPr>
          <w:sz w:val="24"/>
        </w:rPr>
        <w:t>En tout état de cause, tel</w:t>
      </w:r>
      <w:r>
        <w:rPr>
          <w:spacing w:val="-1"/>
          <w:sz w:val="24"/>
        </w:rPr>
        <w:t> </w:t>
      </w:r>
      <w:r>
        <w:rPr>
          <w:sz w:val="24"/>
        </w:rPr>
        <w:t>ne pourrait être le cas que dans l’hypothèse, notamment, où le public percevrait l’élément additionnel comme une représentation de la lettre «m» ou «n», ce qui n’est pas nécessairement l’hypothèse la plus probable.</w:t>
      </w:r>
    </w:p>
    <w:p>
      <w:pPr>
        <w:pStyle w:val="ListParagraph"/>
        <w:numPr>
          <w:ilvl w:val="0"/>
          <w:numId w:val="4"/>
        </w:numPr>
        <w:tabs>
          <w:tab w:pos="1015" w:val="left" w:leader="none"/>
          <w:tab w:pos="1017" w:val="left" w:leader="none"/>
        </w:tabs>
        <w:spacing w:line="240" w:lineRule="auto" w:before="241" w:after="0"/>
        <w:ind w:left="1017" w:right="162" w:hanging="428"/>
        <w:jc w:val="both"/>
        <w:rPr>
          <w:sz w:val="24"/>
        </w:rPr>
      </w:pPr>
      <w:r>
        <w:rPr>
          <w:sz w:val="24"/>
        </w:rPr>
        <w:t>Si</w:t>
      </w:r>
      <w:r>
        <w:rPr>
          <w:spacing w:val="-15"/>
          <w:sz w:val="24"/>
        </w:rPr>
        <w:t> </w:t>
      </w:r>
      <w:r>
        <w:rPr>
          <w:sz w:val="24"/>
        </w:rPr>
        <w:t>le</w:t>
      </w:r>
      <w:r>
        <w:rPr>
          <w:spacing w:val="-15"/>
          <w:sz w:val="24"/>
        </w:rPr>
        <w:t> </w:t>
      </w:r>
      <w:r>
        <w:rPr>
          <w:sz w:val="24"/>
        </w:rPr>
        <w:t>public</w:t>
      </w:r>
      <w:r>
        <w:rPr>
          <w:spacing w:val="-15"/>
          <w:sz w:val="24"/>
        </w:rPr>
        <w:t> </w:t>
      </w:r>
      <w:r>
        <w:rPr>
          <w:sz w:val="24"/>
        </w:rPr>
        <w:t>pertinent</w:t>
      </w:r>
      <w:r>
        <w:rPr>
          <w:spacing w:val="-15"/>
          <w:sz w:val="24"/>
        </w:rPr>
        <w:t> </w:t>
      </w:r>
      <w:r>
        <w:rPr>
          <w:sz w:val="24"/>
        </w:rPr>
        <w:t>perçoit</w:t>
      </w:r>
      <w:r>
        <w:rPr>
          <w:spacing w:val="-15"/>
          <w:sz w:val="24"/>
        </w:rPr>
        <w:t> </w:t>
      </w:r>
      <w:r>
        <w:rPr>
          <w:sz w:val="24"/>
        </w:rPr>
        <w:t>cet</w:t>
      </w:r>
      <w:r>
        <w:rPr>
          <w:spacing w:val="-15"/>
          <w:sz w:val="24"/>
        </w:rPr>
        <w:t> </w:t>
      </w:r>
      <w:r>
        <w:rPr>
          <w:sz w:val="24"/>
        </w:rPr>
        <w:t>élément</w:t>
      </w:r>
      <w:r>
        <w:rPr>
          <w:spacing w:val="-15"/>
          <w:sz w:val="24"/>
        </w:rPr>
        <w:t> </w:t>
      </w:r>
      <w:r>
        <w:rPr>
          <w:sz w:val="24"/>
        </w:rPr>
        <w:t>supplémentaire</w:t>
      </w:r>
      <w:r>
        <w:rPr>
          <w:spacing w:val="-15"/>
          <w:sz w:val="24"/>
        </w:rPr>
        <w:t> </w:t>
      </w:r>
      <w:r>
        <w:rPr>
          <w:sz w:val="24"/>
        </w:rPr>
        <w:t>comme</w:t>
      </w:r>
      <w:r>
        <w:rPr>
          <w:spacing w:val="-15"/>
          <w:sz w:val="24"/>
        </w:rPr>
        <w:t> </w:t>
      </w:r>
      <w:r>
        <w:rPr>
          <w:sz w:val="24"/>
        </w:rPr>
        <w:t>un</w:t>
      </w:r>
      <w:r>
        <w:rPr>
          <w:spacing w:val="-15"/>
          <w:sz w:val="24"/>
        </w:rPr>
        <w:t> </w:t>
      </w:r>
      <w:r>
        <w:rPr>
          <w:sz w:val="24"/>
        </w:rPr>
        <w:t>élément</w:t>
      </w:r>
      <w:r>
        <w:rPr>
          <w:spacing w:val="-15"/>
          <w:sz w:val="24"/>
        </w:rPr>
        <w:t> </w:t>
      </w:r>
      <w:r>
        <w:rPr>
          <w:sz w:val="24"/>
        </w:rPr>
        <w:t>graphique qui</w:t>
      </w:r>
      <w:r>
        <w:rPr>
          <w:spacing w:val="-5"/>
          <w:sz w:val="24"/>
        </w:rPr>
        <w:t> </w:t>
      </w:r>
      <w:r>
        <w:rPr>
          <w:sz w:val="24"/>
        </w:rPr>
        <w:t>n’est</w:t>
      </w:r>
      <w:r>
        <w:rPr>
          <w:spacing w:val="-5"/>
          <w:sz w:val="24"/>
        </w:rPr>
        <w:t> </w:t>
      </w:r>
      <w:r>
        <w:rPr>
          <w:sz w:val="24"/>
        </w:rPr>
        <w:t>pas</w:t>
      </w:r>
      <w:r>
        <w:rPr>
          <w:spacing w:val="-6"/>
          <w:sz w:val="24"/>
        </w:rPr>
        <w:t> </w:t>
      </w:r>
      <w:r>
        <w:rPr>
          <w:sz w:val="24"/>
        </w:rPr>
        <w:t>prononcé,</w:t>
      </w:r>
      <w:r>
        <w:rPr>
          <w:spacing w:val="-6"/>
          <w:sz w:val="24"/>
        </w:rPr>
        <w:t> </w:t>
      </w:r>
      <w:r>
        <w:rPr>
          <w:sz w:val="24"/>
        </w:rPr>
        <w:t>les</w:t>
      </w:r>
      <w:r>
        <w:rPr>
          <w:spacing w:val="-6"/>
          <w:sz w:val="24"/>
        </w:rPr>
        <w:t> </w:t>
      </w:r>
      <w:r>
        <w:rPr>
          <w:sz w:val="24"/>
        </w:rPr>
        <w:t>signes</w:t>
      </w:r>
      <w:r>
        <w:rPr>
          <w:spacing w:val="-6"/>
          <w:sz w:val="24"/>
        </w:rPr>
        <w:t> </w:t>
      </w:r>
      <w:r>
        <w:rPr>
          <w:sz w:val="24"/>
        </w:rPr>
        <w:t>comparés</w:t>
      </w:r>
      <w:r>
        <w:rPr>
          <w:spacing w:val="-6"/>
          <w:sz w:val="24"/>
        </w:rPr>
        <w:t> </w:t>
      </w:r>
      <w:r>
        <w:rPr>
          <w:sz w:val="24"/>
        </w:rPr>
        <w:t>sont</w:t>
      </w:r>
      <w:r>
        <w:rPr>
          <w:spacing w:val="-5"/>
          <w:sz w:val="24"/>
        </w:rPr>
        <w:t> </w:t>
      </w:r>
      <w:r>
        <w:rPr>
          <w:sz w:val="24"/>
        </w:rPr>
        <w:t>identiques</w:t>
      </w:r>
      <w:r>
        <w:rPr>
          <w:spacing w:val="-6"/>
          <w:sz w:val="24"/>
        </w:rPr>
        <w:t> </w:t>
      </w:r>
      <w:r>
        <w:rPr>
          <w:sz w:val="24"/>
        </w:rPr>
        <w:t>sur</w:t>
      </w:r>
      <w:r>
        <w:rPr>
          <w:spacing w:val="-6"/>
          <w:sz w:val="24"/>
        </w:rPr>
        <w:t> </w:t>
      </w:r>
      <w:r>
        <w:rPr>
          <w:sz w:val="24"/>
        </w:rPr>
        <w:t>le</w:t>
      </w:r>
      <w:r>
        <w:rPr>
          <w:spacing w:val="-6"/>
          <w:sz w:val="24"/>
        </w:rPr>
        <w:t> </w:t>
      </w:r>
      <w:r>
        <w:rPr>
          <w:sz w:val="24"/>
        </w:rPr>
        <w:t>plan</w:t>
      </w:r>
      <w:r>
        <w:rPr>
          <w:spacing w:val="-6"/>
          <w:sz w:val="24"/>
        </w:rPr>
        <w:t> </w:t>
      </w:r>
      <w:r>
        <w:rPr>
          <w:sz w:val="24"/>
        </w:rPr>
        <w:t>phonétique.</w:t>
      </w:r>
      <w:r>
        <w:rPr>
          <w:spacing w:val="-6"/>
          <w:sz w:val="24"/>
        </w:rPr>
        <w:t> </w:t>
      </w:r>
      <w:r>
        <w:rPr>
          <w:sz w:val="24"/>
        </w:rPr>
        <w:t>Si le</w:t>
      </w:r>
      <w:r>
        <w:rPr>
          <w:spacing w:val="-6"/>
          <w:sz w:val="24"/>
        </w:rPr>
        <w:t> </w:t>
      </w:r>
      <w:r>
        <w:rPr>
          <w:sz w:val="24"/>
        </w:rPr>
        <w:t>public</w:t>
      </w:r>
      <w:r>
        <w:rPr>
          <w:spacing w:val="-7"/>
          <w:sz w:val="24"/>
        </w:rPr>
        <w:t> </w:t>
      </w:r>
      <w:r>
        <w:rPr>
          <w:sz w:val="24"/>
        </w:rPr>
        <w:t>pertinent</w:t>
      </w:r>
      <w:r>
        <w:rPr>
          <w:spacing w:val="-5"/>
          <w:sz w:val="24"/>
        </w:rPr>
        <w:t> </w:t>
      </w:r>
      <w:r>
        <w:rPr>
          <w:sz w:val="24"/>
        </w:rPr>
        <w:t>la</w:t>
      </w:r>
      <w:r>
        <w:rPr>
          <w:spacing w:val="-6"/>
          <w:sz w:val="24"/>
        </w:rPr>
        <w:t> </w:t>
      </w:r>
      <w:r>
        <w:rPr>
          <w:sz w:val="24"/>
        </w:rPr>
        <w:t>perçoit</w:t>
      </w:r>
      <w:r>
        <w:rPr>
          <w:spacing w:val="-5"/>
          <w:sz w:val="24"/>
        </w:rPr>
        <w:t> </w:t>
      </w:r>
      <w:r>
        <w:rPr>
          <w:sz w:val="24"/>
        </w:rPr>
        <w:t>comme</w:t>
      </w:r>
      <w:r>
        <w:rPr>
          <w:spacing w:val="-7"/>
          <w:sz w:val="24"/>
        </w:rPr>
        <w:t> </w:t>
      </w:r>
      <w:r>
        <w:rPr>
          <w:sz w:val="24"/>
        </w:rPr>
        <w:t>la</w:t>
      </w:r>
      <w:r>
        <w:rPr>
          <w:spacing w:val="-6"/>
          <w:sz w:val="24"/>
        </w:rPr>
        <w:t> </w:t>
      </w:r>
      <w:r>
        <w:rPr>
          <w:sz w:val="24"/>
        </w:rPr>
        <w:t>représentation</w:t>
      </w:r>
      <w:r>
        <w:rPr>
          <w:spacing w:val="-5"/>
          <w:sz w:val="24"/>
        </w:rPr>
        <w:t> </w:t>
      </w:r>
      <w:r>
        <w:rPr>
          <w:sz w:val="24"/>
        </w:rPr>
        <w:t>d’une</w:t>
      </w:r>
      <w:r>
        <w:rPr>
          <w:spacing w:val="-7"/>
          <w:sz w:val="24"/>
        </w:rPr>
        <w:t> </w:t>
      </w:r>
      <w:r>
        <w:rPr>
          <w:sz w:val="24"/>
        </w:rPr>
        <w:t>lettre</w:t>
      </w:r>
      <w:r>
        <w:rPr>
          <w:spacing w:val="-2"/>
          <w:sz w:val="24"/>
        </w:rPr>
        <w:t> </w:t>
      </w:r>
      <w:r>
        <w:rPr>
          <w:sz w:val="24"/>
        </w:rPr>
        <w:t>«m»</w:t>
      </w:r>
      <w:r>
        <w:rPr>
          <w:spacing w:val="-13"/>
          <w:sz w:val="24"/>
        </w:rPr>
        <w:t> </w:t>
      </w:r>
      <w:r>
        <w:rPr>
          <w:sz w:val="24"/>
        </w:rPr>
        <w:t>ou</w:t>
      </w:r>
      <w:r>
        <w:rPr>
          <w:spacing w:val="-6"/>
          <w:sz w:val="24"/>
        </w:rPr>
        <w:t> </w:t>
      </w:r>
      <w:r>
        <w:rPr>
          <w:sz w:val="24"/>
        </w:rPr>
        <w:t>d’un</w:t>
      </w:r>
      <w:r>
        <w:rPr>
          <w:spacing w:val="-1"/>
          <w:sz w:val="24"/>
        </w:rPr>
        <w:t> </w:t>
      </w:r>
      <w:r>
        <w:rPr>
          <w:sz w:val="24"/>
        </w:rPr>
        <w:t>«n»</w:t>
      </w:r>
      <w:r>
        <w:rPr>
          <w:spacing w:val="-11"/>
          <w:sz w:val="24"/>
        </w:rPr>
        <w:t> </w:t>
      </w:r>
      <w:r>
        <w:rPr>
          <w:sz w:val="24"/>
        </w:rPr>
        <w:t>et est</w:t>
      </w:r>
      <w:r>
        <w:rPr>
          <w:spacing w:val="-15"/>
          <w:sz w:val="24"/>
        </w:rPr>
        <w:t> </w:t>
      </w:r>
      <w:r>
        <w:rPr>
          <w:sz w:val="24"/>
        </w:rPr>
        <w:t>amené</w:t>
      </w:r>
      <w:r>
        <w:rPr>
          <w:spacing w:val="-15"/>
          <w:sz w:val="24"/>
        </w:rPr>
        <w:t> </w:t>
      </w:r>
      <w:r>
        <w:rPr>
          <w:sz w:val="24"/>
        </w:rPr>
        <w:t>à</w:t>
      </w:r>
      <w:r>
        <w:rPr>
          <w:spacing w:val="-15"/>
          <w:sz w:val="24"/>
        </w:rPr>
        <w:t> </w:t>
      </w:r>
      <w:r>
        <w:rPr>
          <w:sz w:val="24"/>
        </w:rPr>
        <w:t>prononcer</w:t>
      </w:r>
      <w:r>
        <w:rPr>
          <w:spacing w:val="-15"/>
          <w:sz w:val="24"/>
        </w:rPr>
        <w:t> </w:t>
      </w:r>
      <w:r>
        <w:rPr>
          <w:sz w:val="24"/>
        </w:rPr>
        <w:t>cette</w:t>
      </w:r>
      <w:r>
        <w:rPr>
          <w:spacing w:val="-15"/>
          <w:sz w:val="24"/>
        </w:rPr>
        <w:t> </w:t>
      </w:r>
      <w:r>
        <w:rPr>
          <w:sz w:val="24"/>
        </w:rPr>
        <w:t>lettre</w:t>
      </w:r>
      <w:r>
        <w:rPr>
          <w:spacing w:val="-15"/>
          <w:sz w:val="24"/>
        </w:rPr>
        <w:t> </w:t>
      </w:r>
      <w:r>
        <w:rPr>
          <w:sz w:val="24"/>
        </w:rPr>
        <w:t>malgré</w:t>
      </w:r>
      <w:r>
        <w:rPr>
          <w:spacing w:val="-15"/>
          <w:sz w:val="24"/>
        </w:rPr>
        <w:t> </w:t>
      </w:r>
      <w:r>
        <w:rPr>
          <w:sz w:val="24"/>
        </w:rPr>
        <w:t>sa</w:t>
      </w:r>
      <w:r>
        <w:rPr>
          <w:spacing w:val="-15"/>
          <w:sz w:val="24"/>
        </w:rPr>
        <w:t> </w:t>
      </w:r>
      <w:r>
        <w:rPr>
          <w:sz w:val="24"/>
        </w:rPr>
        <w:t>position</w:t>
      </w:r>
      <w:r>
        <w:rPr>
          <w:spacing w:val="-15"/>
          <w:sz w:val="24"/>
        </w:rPr>
        <w:t> </w:t>
      </w:r>
      <w:r>
        <w:rPr>
          <w:sz w:val="24"/>
        </w:rPr>
        <w:t>secondaire</w:t>
      </w:r>
      <w:r>
        <w:rPr>
          <w:spacing w:val="-15"/>
          <w:sz w:val="24"/>
        </w:rPr>
        <w:t> </w:t>
      </w:r>
      <w:r>
        <w:rPr>
          <w:sz w:val="24"/>
        </w:rPr>
        <w:t>dans</w:t>
      </w:r>
      <w:r>
        <w:rPr>
          <w:spacing w:val="-15"/>
          <w:sz w:val="24"/>
        </w:rPr>
        <w:t> </w:t>
      </w:r>
      <w:r>
        <w:rPr>
          <w:sz w:val="24"/>
        </w:rPr>
        <w:t>le</w:t>
      </w:r>
      <w:r>
        <w:rPr>
          <w:spacing w:val="-15"/>
          <w:sz w:val="24"/>
        </w:rPr>
        <w:t> </w:t>
      </w:r>
      <w:r>
        <w:rPr>
          <w:sz w:val="24"/>
        </w:rPr>
        <w:t>signe</w:t>
      </w:r>
      <w:r>
        <w:rPr>
          <w:spacing w:val="-15"/>
          <w:sz w:val="24"/>
        </w:rPr>
        <w:t> </w:t>
      </w:r>
      <w:r>
        <w:rPr>
          <w:sz w:val="24"/>
        </w:rPr>
        <w:t>en</w:t>
      </w:r>
      <w:r>
        <w:rPr>
          <w:spacing w:val="-15"/>
          <w:sz w:val="24"/>
        </w:rPr>
        <w:t> </w:t>
      </w:r>
      <w:r>
        <w:rPr>
          <w:sz w:val="24"/>
        </w:rPr>
        <w:t>cause, les signes comparés présentent un degré moyen de similitude.</w:t>
      </w:r>
    </w:p>
    <w:p>
      <w:pPr>
        <w:pStyle w:val="ListParagraph"/>
        <w:numPr>
          <w:ilvl w:val="0"/>
          <w:numId w:val="4"/>
        </w:numPr>
        <w:tabs>
          <w:tab w:pos="1015" w:val="left" w:leader="none"/>
          <w:tab w:pos="1017" w:val="left" w:leader="none"/>
        </w:tabs>
        <w:spacing w:line="240" w:lineRule="auto" w:before="239" w:after="0"/>
        <w:ind w:left="1017" w:right="161" w:hanging="428"/>
        <w:jc w:val="both"/>
        <w:rPr>
          <w:sz w:val="24"/>
        </w:rPr>
      </w:pPr>
      <w:r>
        <w:rPr>
          <w:sz w:val="24"/>
        </w:rPr>
        <w:t>Une position médiane entre ces deux hypothèses permet de conclure que les signes sont phonétiquement similaires à un degré variant de moyen à élevé.</w:t>
      </w:r>
    </w:p>
    <w:p>
      <w:pPr>
        <w:pStyle w:val="ListParagraph"/>
        <w:numPr>
          <w:ilvl w:val="0"/>
          <w:numId w:val="4"/>
        </w:numPr>
        <w:tabs>
          <w:tab w:pos="1015" w:val="left" w:leader="none"/>
          <w:tab w:pos="1017" w:val="left" w:leader="none"/>
        </w:tabs>
        <w:spacing w:line="240" w:lineRule="auto" w:before="239" w:after="0"/>
        <w:ind w:left="1017" w:right="163" w:hanging="428"/>
        <w:jc w:val="both"/>
        <w:rPr>
          <w:sz w:val="24"/>
        </w:rPr>
      </w:pPr>
      <w:r>
        <w:rPr>
          <w:sz w:val="24"/>
        </w:rPr>
        <w:t>Le</w:t>
      </w:r>
      <w:r>
        <w:rPr>
          <w:spacing w:val="-3"/>
          <w:sz w:val="24"/>
        </w:rPr>
        <w:t> </w:t>
      </w:r>
      <w:r>
        <w:rPr>
          <w:sz w:val="24"/>
        </w:rPr>
        <w:t>caractère</w:t>
      </w:r>
      <w:r>
        <w:rPr>
          <w:spacing w:val="-6"/>
          <w:sz w:val="24"/>
        </w:rPr>
        <w:t> </w:t>
      </w:r>
      <w:r>
        <w:rPr>
          <w:sz w:val="24"/>
        </w:rPr>
        <w:t>distinctif</w:t>
      </w:r>
      <w:r>
        <w:rPr>
          <w:spacing w:val="-4"/>
          <w:sz w:val="24"/>
        </w:rPr>
        <w:t> </w:t>
      </w:r>
      <w:r>
        <w:rPr>
          <w:sz w:val="24"/>
        </w:rPr>
        <w:t>et</w:t>
      </w:r>
      <w:r>
        <w:rPr>
          <w:spacing w:val="-4"/>
          <w:sz w:val="24"/>
        </w:rPr>
        <w:t> </w:t>
      </w:r>
      <w:r>
        <w:rPr>
          <w:sz w:val="24"/>
        </w:rPr>
        <w:t>proéminent</w:t>
      </w:r>
      <w:r>
        <w:rPr>
          <w:spacing w:val="-4"/>
          <w:sz w:val="24"/>
        </w:rPr>
        <w:t> </w:t>
      </w:r>
      <w:r>
        <w:rPr>
          <w:sz w:val="24"/>
        </w:rPr>
        <w:t>de</w:t>
      </w:r>
      <w:r>
        <w:rPr>
          <w:spacing w:val="-4"/>
          <w:sz w:val="24"/>
        </w:rPr>
        <w:t> </w:t>
      </w:r>
      <w:r>
        <w:rPr>
          <w:sz w:val="24"/>
        </w:rPr>
        <w:t>l’élément</w:t>
      </w:r>
      <w:r>
        <w:rPr>
          <w:spacing w:val="-2"/>
          <w:sz w:val="24"/>
        </w:rPr>
        <w:t> </w:t>
      </w:r>
      <w:r>
        <w:rPr>
          <w:sz w:val="24"/>
        </w:rPr>
        <w:t>commun</w:t>
      </w:r>
      <w:r>
        <w:rPr>
          <w:spacing w:val="-4"/>
          <w:sz w:val="24"/>
        </w:rPr>
        <w:t> </w:t>
      </w:r>
      <w:r>
        <w:rPr>
          <w:sz w:val="24"/>
        </w:rPr>
        <w:t>et</w:t>
      </w:r>
      <w:r>
        <w:rPr>
          <w:spacing w:val="-4"/>
          <w:sz w:val="24"/>
        </w:rPr>
        <w:t> </w:t>
      </w:r>
      <w:r>
        <w:rPr>
          <w:sz w:val="24"/>
        </w:rPr>
        <w:t>central «5»</w:t>
      </w:r>
      <w:r>
        <w:rPr>
          <w:spacing w:val="-10"/>
          <w:sz w:val="24"/>
        </w:rPr>
        <w:t> </w:t>
      </w:r>
      <w:r>
        <w:rPr>
          <w:sz w:val="24"/>
        </w:rPr>
        <w:t>signifie</w:t>
      </w:r>
      <w:r>
        <w:rPr>
          <w:spacing w:val="-5"/>
          <w:sz w:val="24"/>
        </w:rPr>
        <w:t> </w:t>
      </w:r>
      <w:r>
        <w:rPr>
          <w:sz w:val="24"/>
        </w:rPr>
        <w:t>que l’impact</w:t>
      </w:r>
      <w:r>
        <w:rPr>
          <w:spacing w:val="-2"/>
          <w:sz w:val="24"/>
        </w:rPr>
        <w:t> </w:t>
      </w:r>
      <w:r>
        <w:rPr>
          <w:sz w:val="24"/>
        </w:rPr>
        <w:t>phonétique</w:t>
      </w:r>
      <w:r>
        <w:rPr>
          <w:spacing w:val="-2"/>
          <w:sz w:val="24"/>
        </w:rPr>
        <w:t> </w:t>
      </w:r>
      <w:r>
        <w:rPr>
          <w:sz w:val="24"/>
        </w:rPr>
        <w:t>des</w:t>
      </w:r>
      <w:r>
        <w:rPr>
          <w:spacing w:val="-2"/>
          <w:sz w:val="24"/>
        </w:rPr>
        <w:t> </w:t>
      </w:r>
      <w:r>
        <w:rPr>
          <w:sz w:val="24"/>
        </w:rPr>
        <w:t>différences</w:t>
      </w:r>
      <w:r>
        <w:rPr>
          <w:spacing w:val="-2"/>
          <w:sz w:val="24"/>
        </w:rPr>
        <w:t> </w:t>
      </w:r>
      <w:r>
        <w:rPr>
          <w:sz w:val="24"/>
        </w:rPr>
        <w:t>doit,</w:t>
      </w:r>
      <w:r>
        <w:rPr>
          <w:spacing w:val="-2"/>
          <w:sz w:val="24"/>
        </w:rPr>
        <w:t> </w:t>
      </w:r>
      <w:r>
        <w:rPr>
          <w:sz w:val="24"/>
        </w:rPr>
        <w:t>en</w:t>
      </w:r>
      <w:r>
        <w:rPr>
          <w:spacing w:val="-2"/>
          <w:sz w:val="24"/>
        </w:rPr>
        <w:t> </w:t>
      </w:r>
      <w:r>
        <w:rPr>
          <w:sz w:val="24"/>
        </w:rPr>
        <w:t>tout</w:t>
      </w:r>
      <w:r>
        <w:rPr>
          <w:spacing w:val="-2"/>
          <w:sz w:val="24"/>
        </w:rPr>
        <w:t> </w:t>
      </w:r>
      <w:r>
        <w:rPr>
          <w:sz w:val="24"/>
        </w:rPr>
        <w:t>état</w:t>
      </w:r>
      <w:r>
        <w:rPr>
          <w:spacing w:val="-2"/>
          <w:sz w:val="24"/>
        </w:rPr>
        <w:t> </w:t>
      </w:r>
      <w:r>
        <w:rPr>
          <w:sz w:val="24"/>
        </w:rPr>
        <w:t>de</w:t>
      </w:r>
      <w:r>
        <w:rPr>
          <w:spacing w:val="-2"/>
          <w:sz w:val="24"/>
        </w:rPr>
        <w:t> </w:t>
      </w:r>
      <w:r>
        <w:rPr>
          <w:sz w:val="24"/>
        </w:rPr>
        <w:t>cause,</w:t>
      </w:r>
      <w:r>
        <w:rPr>
          <w:spacing w:val="-2"/>
          <w:sz w:val="24"/>
        </w:rPr>
        <w:t> </w:t>
      </w:r>
      <w:r>
        <w:rPr>
          <w:sz w:val="24"/>
        </w:rPr>
        <w:t>être</w:t>
      </w:r>
      <w:r>
        <w:rPr>
          <w:spacing w:val="-2"/>
          <w:sz w:val="24"/>
        </w:rPr>
        <w:t> </w:t>
      </w:r>
      <w:r>
        <w:rPr>
          <w:sz w:val="24"/>
        </w:rPr>
        <w:t>considéré</w:t>
      </w:r>
      <w:r>
        <w:rPr>
          <w:spacing w:val="-3"/>
          <w:sz w:val="24"/>
        </w:rPr>
        <w:t> </w:t>
      </w:r>
      <w:r>
        <w:rPr>
          <w:sz w:val="24"/>
        </w:rPr>
        <w:t>comme </w:t>
      </w:r>
      <w:r>
        <w:rPr>
          <w:spacing w:val="-2"/>
          <w:sz w:val="24"/>
        </w:rPr>
        <w:t>limité.</w:t>
      </w:r>
    </w:p>
    <w:p>
      <w:pPr>
        <w:pStyle w:val="ListParagraph"/>
        <w:numPr>
          <w:ilvl w:val="0"/>
          <w:numId w:val="4"/>
        </w:numPr>
        <w:tabs>
          <w:tab w:pos="1015" w:val="left" w:leader="none"/>
          <w:tab w:pos="1017" w:val="left" w:leader="none"/>
        </w:tabs>
        <w:spacing w:line="240" w:lineRule="auto" w:before="239" w:after="0"/>
        <w:ind w:left="1017" w:right="161" w:hanging="428"/>
        <w:jc w:val="both"/>
        <w:rPr>
          <w:sz w:val="24"/>
        </w:rPr>
      </w:pPr>
      <w:r>
        <w:rPr>
          <w:sz w:val="24"/>
        </w:rPr>
        <w:t>La</w:t>
      </w:r>
      <w:r>
        <w:rPr>
          <w:spacing w:val="-15"/>
          <w:sz w:val="24"/>
        </w:rPr>
        <w:t> </w:t>
      </w:r>
      <w:r>
        <w:rPr>
          <w:sz w:val="24"/>
        </w:rPr>
        <w:t>division</w:t>
      </w:r>
      <w:r>
        <w:rPr>
          <w:spacing w:val="-15"/>
          <w:sz w:val="24"/>
        </w:rPr>
        <w:t> </w:t>
      </w:r>
      <w:r>
        <w:rPr>
          <w:sz w:val="24"/>
        </w:rPr>
        <w:t>d’opposition</w:t>
      </w:r>
      <w:r>
        <w:rPr>
          <w:spacing w:val="-15"/>
          <w:sz w:val="24"/>
        </w:rPr>
        <w:t> </w:t>
      </w:r>
      <w:r>
        <w:rPr>
          <w:sz w:val="24"/>
        </w:rPr>
        <w:t>a</w:t>
      </w:r>
      <w:r>
        <w:rPr>
          <w:spacing w:val="-15"/>
          <w:sz w:val="24"/>
        </w:rPr>
        <w:t> </w:t>
      </w:r>
      <w:r>
        <w:rPr>
          <w:sz w:val="24"/>
        </w:rPr>
        <w:t>accordé</w:t>
      </w:r>
      <w:r>
        <w:rPr>
          <w:spacing w:val="-15"/>
          <w:sz w:val="24"/>
        </w:rPr>
        <w:t> </w:t>
      </w:r>
      <w:r>
        <w:rPr>
          <w:sz w:val="24"/>
        </w:rPr>
        <w:t>un</w:t>
      </w:r>
      <w:r>
        <w:rPr>
          <w:spacing w:val="-15"/>
          <w:sz w:val="24"/>
        </w:rPr>
        <w:t> </w:t>
      </w:r>
      <w:r>
        <w:rPr>
          <w:sz w:val="24"/>
        </w:rPr>
        <w:t>poids</w:t>
      </w:r>
      <w:r>
        <w:rPr>
          <w:spacing w:val="-15"/>
          <w:sz w:val="24"/>
        </w:rPr>
        <w:t> </w:t>
      </w:r>
      <w:r>
        <w:rPr>
          <w:sz w:val="24"/>
        </w:rPr>
        <w:t>phonétique</w:t>
      </w:r>
      <w:r>
        <w:rPr>
          <w:spacing w:val="-15"/>
          <w:sz w:val="24"/>
        </w:rPr>
        <w:t> </w:t>
      </w:r>
      <w:r>
        <w:rPr>
          <w:sz w:val="24"/>
        </w:rPr>
        <w:t>excessif</w:t>
      </w:r>
      <w:r>
        <w:rPr>
          <w:spacing w:val="-15"/>
          <w:sz w:val="24"/>
        </w:rPr>
        <w:t> </w:t>
      </w:r>
      <w:r>
        <w:rPr>
          <w:sz w:val="24"/>
        </w:rPr>
        <w:t>à</w:t>
      </w:r>
      <w:r>
        <w:rPr>
          <w:spacing w:val="-15"/>
          <w:sz w:val="24"/>
        </w:rPr>
        <w:t> </w:t>
      </w:r>
      <w:r>
        <w:rPr>
          <w:sz w:val="24"/>
        </w:rPr>
        <w:t>l’élément</w:t>
      </w:r>
      <w:r>
        <w:rPr>
          <w:spacing w:val="-15"/>
          <w:sz w:val="24"/>
        </w:rPr>
        <w:t> </w:t>
      </w:r>
      <w:r>
        <w:rPr>
          <w:sz w:val="24"/>
        </w:rPr>
        <w:t>graphique supplémentaire du signe contesté.</w:t>
      </w:r>
    </w:p>
    <w:p>
      <w:pPr>
        <w:pStyle w:val="BodyText"/>
        <w:spacing w:before="84"/>
      </w:pPr>
    </w:p>
    <w:p>
      <w:pPr>
        <w:spacing w:before="0"/>
        <w:ind w:left="590" w:right="0" w:firstLine="0"/>
        <w:jc w:val="left"/>
        <w:rPr>
          <w:i/>
          <w:sz w:val="24"/>
        </w:rPr>
      </w:pPr>
      <w:r>
        <w:rPr>
          <w:i/>
          <w:sz w:val="24"/>
        </w:rPr>
        <w:t>Similitude</w:t>
      </w:r>
      <w:r>
        <w:rPr>
          <w:i/>
          <w:spacing w:val="-1"/>
          <w:sz w:val="24"/>
        </w:rPr>
        <w:t> </w:t>
      </w:r>
      <w:r>
        <w:rPr>
          <w:i/>
          <w:spacing w:val="-2"/>
          <w:sz w:val="24"/>
        </w:rPr>
        <w:t>conceptuelle</w:t>
      </w:r>
    </w:p>
    <w:p>
      <w:pPr>
        <w:pStyle w:val="ListParagraph"/>
        <w:numPr>
          <w:ilvl w:val="0"/>
          <w:numId w:val="4"/>
        </w:numPr>
        <w:tabs>
          <w:tab w:pos="1015" w:val="left" w:leader="none"/>
          <w:tab w:pos="1017" w:val="left" w:leader="none"/>
        </w:tabs>
        <w:spacing w:line="240" w:lineRule="auto" w:before="239" w:after="0"/>
        <w:ind w:left="1017" w:right="160" w:hanging="428"/>
        <w:jc w:val="both"/>
        <w:rPr>
          <w:sz w:val="24"/>
        </w:rPr>
      </w:pPr>
      <w:r>
        <w:rPr>
          <w:sz w:val="24"/>
        </w:rPr>
        <w:t>On peut supposer que les signes évoquent directement et clairement le chiffre «5»</w:t>
      </w:r>
      <w:r>
        <w:rPr>
          <w:spacing w:val="-1"/>
          <w:sz w:val="24"/>
        </w:rPr>
        <w:t> </w:t>
      </w:r>
      <w:r>
        <w:rPr>
          <w:sz w:val="24"/>
        </w:rPr>
        <w:t>et la</w:t>
      </w:r>
      <w:r>
        <w:rPr>
          <w:spacing w:val="-3"/>
          <w:sz w:val="24"/>
        </w:rPr>
        <w:t> </w:t>
      </w:r>
      <w:r>
        <w:rPr>
          <w:sz w:val="24"/>
        </w:rPr>
        <w:t>signification</w:t>
      </w:r>
      <w:r>
        <w:rPr>
          <w:spacing w:val="-3"/>
          <w:sz w:val="24"/>
        </w:rPr>
        <w:t> </w:t>
      </w:r>
      <w:r>
        <w:rPr>
          <w:sz w:val="24"/>
        </w:rPr>
        <w:t>que</w:t>
      </w:r>
      <w:r>
        <w:rPr>
          <w:spacing w:val="-4"/>
          <w:sz w:val="24"/>
        </w:rPr>
        <w:t> </w:t>
      </w:r>
      <w:r>
        <w:rPr>
          <w:sz w:val="24"/>
        </w:rPr>
        <w:t>le</w:t>
      </w:r>
      <w:r>
        <w:rPr>
          <w:spacing w:val="-3"/>
          <w:sz w:val="24"/>
        </w:rPr>
        <w:t> </w:t>
      </w:r>
      <w:r>
        <w:rPr>
          <w:sz w:val="24"/>
        </w:rPr>
        <w:t>public</w:t>
      </w:r>
      <w:r>
        <w:rPr>
          <w:spacing w:val="-4"/>
          <w:sz w:val="24"/>
        </w:rPr>
        <w:t> </w:t>
      </w:r>
      <w:r>
        <w:rPr>
          <w:sz w:val="24"/>
        </w:rPr>
        <w:t>lui</w:t>
      </w:r>
      <w:r>
        <w:rPr>
          <w:spacing w:val="-3"/>
          <w:sz w:val="24"/>
        </w:rPr>
        <w:t> </w:t>
      </w:r>
      <w:r>
        <w:rPr>
          <w:sz w:val="24"/>
        </w:rPr>
        <w:t>attribue</w:t>
      </w:r>
      <w:r>
        <w:rPr>
          <w:spacing w:val="-4"/>
          <w:sz w:val="24"/>
        </w:rPr>
        <w:t> </w:t>
      </w:r>
      <w:r>
        <w:rPr>
          <w:sz w:val="24"/>
        </w:rPr>
        <w:t>comme</w:t>
      </w:r>
      <w:r>
        <w:rPr>
          <w:spacing w:val="-4"/>
          <w:sz w:val="24"/>
        </w:rPr>
        <w:t> </w:t>
      </w:r>
      <w:r>
        <w:rPr>
          <w:sz w:val="24"/>
        </w:rPr>
        <w:t>un</w:t>
      </w:r>
      <w:r>
        <w:rPr>
          <w:spacing w:val="-3"/>
          <w:sz w:val="24"/>
        </w:rPr>
        <w:t> </w:t>
      </w:r>
      <w:r>
        <w:rPr>
          <w:sz w:val="24"/>
        </w:rPr>
        <w:t>moyen</w:t>
      </w:r>
      <w:r>
        <w:rPr>
          <w:spacing w:val="-3"/>
          <w:sz w:val="24"/>
        </w:rPr>
        <w:t> </w:t>
      </w:r>
      <w:r>
        <w:rPr>
          <w:sz w:val="24"/>
        </w:rPr>
        <w:t>d’attribuer</w:t>
      </w:r>
      <w:r>
        <w:rPr>
          <w:spacing w:val="-3"/>
          <w:sz w:val="24"/>
        </w:rPr>
        <w:t> </w:t>
      </w:r>
      <w:r>
        <w:rPr>
          <w:sz w:val="24"/>
        </w:rPr>
        <w:t>l’ordre,</w:t>
      </w:r>
      <w:r>
        <w:rPr>
          <w:spacing w:val="-3"/>
          <w:sz w:val="24"/>
        </w:rPr>
        <w:t> </w:t>
      </w:r>
      <w:r>
        <w:rPr>
          <w:sz w:val="24"/>
        </w:rPr>
        <w:t>le</w:t>
      </w:r>
      <w:r>
        <w:rPr>
          <w:spacing w:val="-3"/>
          <w:sz w:val="24"/>
        </w:rPr>
        <w:t> </w:t>
      </w:r>
      <w:r>
        <w:rPr>
          <w:sz w:val="24"/>
        </w:rPr>
        <w:t>rang ou l’identification à une chose.</w:t>
      </w:r>
    </w:p>
    <w:p>
      <w:pPr>
        <w:pStyle w:val="ListParagraph"/>
        <w:numPr>
          <w:ilvl w:val="0"/>
          <w:numId w:val="4"/>
        </w:numPr>
        <w:tabs>
          <w:tab w:pos="1015" w:val="left" w:leader="none"/>
          <w:tab w:pos="1017" w:val="left" w:leader="none"/>
        </w:tabs>
        <w:spacing w:line="240" w:lineRule="auto" w:before="239" w:after="0"/>
        <w:ind w:left="1017" w:right="163" w:hanging="428"/>
        <w:jc w:val="both"/>
        <w:rPr>
          <w:sz w:val="24"/>
        </w:rPr>
      </w:pPr>
      <w:r>
        <w:rPr>
          <w:sz w:val="24"/>
        </w:rPr>
        <w:t>Quelle que soit la perception que le public pertinent attache à l’élément graphique additionnel</w:t>
      </w:r>
      <w:r>
        <w:rPr>
          <w:spacing w:val="34"/>
          <w:sz w:val="24"/>
        </w:rPr>
        <w:t> </w:t>
      </w:r>
      <w:r>
        <w:rPr>
          <w:sz w:val="24"/>
        </w:rPr>
        <w:t>du</w:t>
      </w:r>
      <w:r>
        <w:rPr>
          <w:spacing w:val="34"/>
          <w:sz w:val="24"/>
        </w:rPr>
        <w:t> </w:t>
      </w:r>
      <w:r>
        <w:rPr>
          <w:sz w:val="24"/>
        </w:rPr>
        <w:t>signe</w:t>
      </w:r>
      <w:r>
        <w:rPr>
          <w:spacing w:val="33"/>
          <w:sz w:val="24"/>
        </w:rPr>
        <w:t> </w:t>
      </w:r>
      <w:r>
        <w:rPr>
          <w:sz w:val="24"/>
        </w:rPr>
        <w:t>contesté,</w:t>
      </w:r>
      <w:r>
        <w:rPr>
          <w:spacing w:val="34"/>
          <w:sz w:val="24"/>
        </w:rPr>
        <w:t> </w:t>
      </w:r>
      <w:r>
        <w:rPr>
          <w:sz w:val="24"/>
        </w:rPr>
        <w:t>cet</w:t>
      </w:r>
      <w:r>
        <w:rPr>
          <w:spacing w:val="34"/>
          <w:sz w:val="24"/>
        </w:rPr>
        <w:t> </w:t>
      </w:r>
      <w:r>
        <w:rPr>
          <w:sz w:val="24"/>
        </w:rPr>
        <w:t>élément</w:t>
      </w:r>
      <w:r>
        <w:rPr>
          <w:spacing w:val="34"/>
          <w:sz w:val="24"/>
        </w:rPr>
        <w:t> </w:t>
      </w:r>
      <w:r>
        <w:rPr>
          <w:sz w:val="24"/>
        </w:rPr>
        <w:t>est,</w:t>
      </w:r>
      <w:r>
        <w:rPr>
          <w:spacing w:val="34"/>
          <w:sz w:val="24"/>
        </w:rPr>
        <w:t> </w:t>
      </w:r>
      <w:r>
        <w:rPr>
          <w:sz w:val="24"/>
        </w:rPr>
        <w:t>en</w:t>
      </w:r>
      <w:r>
        <w:rPr>
          <w:spacing w:val="34"/>
          <w:sz w:val="24"/>
        </w:rPr>
        <w:t> </w:t>
      </w:r>
      <w:r>
        <w:rPr>
          <w:sz w:val="24"/>
        </w:rPr>
        <w:t>association</w:t>
      </w:r>
      <w:r>
        <w:rPr>
          <w:spacing w:val="34"/>
          <w:sz w:val="24"/>
        </w:rPr>
        <w:t> </w:t>
      </w:r>
      <w:r>
        <w:rPr>
          <w:sz w:val="24"/>
        </w:rPr>
        <w:t>avec</w:t>
      </w:r>
      <w:r>
        <w:rPr>
          <w:spacing w:val="33"/>
          <w:sz w:val="24"/>
        </w:rPr>
        <w:t> </w:t>
      </w:r>
      <w:r>
        <w:rPr>
          <w:sz w:val="24"/>
        </w:rPr>
        <w:t>le</w:t>
      </w:r>
      <w:r>
        <w:rPr>
          <w:spacing w:val="33"/>
          <w:sz w:val="24"/>
        </w:rPr>
        <w:t> </w:t>
      </w:r>
      <w:r>
        <w:rPr>
          <w:sz w:val="24"/>
        </w:rPr>
        <w:t>chiffre</w:t>
      </w:r>
      <w:r>
        <w:rPr>
          <w:spacing w:val="37"/>
          <w:sz w:val="24"/>
        </w:rPr>
        <w:t> </w:t>
      </w:r>
      <w:r>
        <w:rPr>
          <w:sz w:val="24"/>
        </w:rPr>
        <w:t>«5»,</w:t>
      </w:r>
    </w:p>
    <w:p>
      <w:pPr>
        <w:pStyle w:val="BodyText"/>
        <w:rPr>
          <w:sz w:val="18"/>
        </w:rPr>
      </w:pPr>
    </w:p>
    <w:p>
      <w:pPr>
        <w:pStyle w:val="BodyText"/>
        <w:rPr>
          <w:sz w:val="18"/>
        </w:rPr>
      </w:pPr>
    </w:p>
    <w:p>
      <w:pPr>
        <w:pStyle w:val="BodyText"/>
        <w:rPr>
          <w:sz w:val="18"/>
        </w:rPr>
      </w:pPr>
    </w:p>
    <w:p>
      <w:pPr>
        <w:pStyle w:val="BodyText"/>
        <w:spacing w:before="22"/>
        <w:rPr>
          <w:sz w:val="18"/>
        </w:rPr>
      </w:pPr>
    </w:p>
    <w:p>
      <w:pPr>
        <w:spacing w:before="0"/>
        <w:ind w:left="2737" w:right="2738" w:firstLine="0"/>
        <w:jc w:val="center"/>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p>
      <w:pPr>
        <w:spacing w:after="0"/>
        <w:jc w:val="center"/>
        <w:rPr>
          <w:sz w:val="18"/>
        </w:rPr>
        <w:sectPr>
          <w:pgSz w:w="11910" w:h="16840"/>
          <w:pgMar w:header="970" w:footer="0" w:top="1180" w:bottom="280" w:left="1275" w:right="1275"/>
        </w:sectPr>
      </w:pPr>
    </w:p>
    <w:p>
      <w:pPr>
        <w:pStyle w:val="BodyText"/>
        <w:spacing w:before="249"/>
        <w:ind w:left="1017" w:right="168"/>
        <w:jc w:val="both"/>
      </w:pPr>
      <w:r>
        <w:rPr/>
        <mc:AlternateContent>
          <mc:Choice Requires="wps">
            <w:drawing>
              <wp:anchor distT="0" distB="0" distL="0" distR="0" allowOverlap="1" layoutInCell="1" locked="0" behindDoc="0" simplePos="0" relativeHeight="15736320">
                <wp:simplePos x="0" y="0"/>
                <wp:positionH relativeFrom="page">
                  <wp:posOffset>270575</wp:posOffset>
                </wp:positionH>
                <wp:positionV relativeFrom="page">
                  <wp:posOffset>1114363</wp:posOffset>
                </wp:positionV>
                <wp:extent cx="146050" cy="921004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46050" cy="9210040"/>
                        </a:xfrm>
                        <a:prstGeom prst="rect">
                          <a:avLst/>
                        </a:prstGeom>
                      </wps:spPr>
                      <wps:txbx>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wps:txbx>
                      <wps:bodyPr wrap="square" lIns="0" tIns="0" rIns="0" bIns="0" rtlCol="0" vert="vert270">
                        <a:noAutofit/>
                      </wps:bodyPr>
                    </wps:wsp>
                  </a:graphicData>
                </a:graphic>
              </wp:anchor>
            </w:drawing>
          </mc:Choice>
          <mc:Fallback>
            <w:pict>
              <v:shape style="position:absolute;margin-left:21.305176pt;margin-top:87.745193pt;width:11.5pt;height:725.2pt;mso-position-horizontal-relative:page;mso-position-vertical-relative:page;z-index:15736320" type="#_x0000_t202" id="docshape15" filled="false" stroked="false">
                <v:textbox inset="0,0,0,0" style="layout-flow:vertical;mso-layout-flow-alt:bottom-to-top">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v:textbox>
                <w10:wrap type="none"/>
              </v:shape>
            </w:pict>
          </mc:Fallback>
        </mc:AlternateContent>
      </w:r>
      <w:r>
        <w:rPr/>
        <w:t>dépourvu en soi de toute signification particulière et est donc neutre sur le plan conceptuel. Le signe est donc compris comme faisant référence au chiffre «5».</w:t>
      </w:r>
    </w:p>
    <w:p>
      <w:pPr>
        <w:pStyle w:val="ListParagraph"/>
        <w:numPr>
          <w:ilvl w:val="0"/>
          <w:numId w:val="4"/>
        </w:numPr>
        <w:tabs>
          <w:tab w:pos="1016" w:val="left" w:leader="none"/>
        </w:tabs>
        <w:spacing w:line="240" w:lineRule="auto" w:before="242" w:after="0"/>
        <w:ind w:left="1016" w:right="0" w:hanging="426"/>
        <w:jc w:val="both"/>
        <w:rPr>
          <w:sz w:val="24"/>
        </w:rPr>
      </w:pPr>
      <w:r>
        <w:rPr>
          <w:sz w:val="24"/>
        </w:rPr>
        <w:t>Il</w:t>
      </w:r>
      <w:r>
        <w:rPr>
          <w:spacing w:val="-2"/>
          <w:sz w:val="24"/>
        </w:rPr>
        <w:t> </w:t>
      </w:r>
      <w:r>
        <w:rPr>
          <w:sz w:val="24"/>
        </w:rPr>
        <w:t>s’ensuit</w:t>
      </w:r>
      <w:r>
        <w:rPr>
          <w:spacing w:val="-2"/>
          <w:sz w:val="24"/>
        </w:rPr>
        <w:t> </w:t>
      </w:r>
      <w:r>
        <w:rPr>
          <w:sz w:val="24"/>
        </w:rPr>
        <w:t>que</w:t>
      </w:r>
      <w:r>
        <w:rPr>
          <w:spacing w:val="-1"/>
          <w:sz w:val="24"/>
        </w:rPr>
        <w:t> </w:t>
      </w:r>
      <w:r>
        <w:rPr>
          <w:sz w:val="24"/>
        </w:rPr>
        <w:t>les</w:t>
      </w:r>
      <w:r>
        <w:rPr>
          <w:spacing w:val="-3"/>
          <w:sz w:val="24"/>
        </w:rPr>
        <w:t> </w:t>
      </w:r>
      <w:r>
        <w:rPr>
          <w:sz w:val="24"/>
        </w:rPr>
        <w:t>signes sont</w:t>
      </w:r>
      <w:r>
        <w:rPr>
          <w:spacing w:val="-1"/>
          <w:sz w:val="24"/>
        </w:rPr>
        <w:t> </w:t>
      </w:r>
      <w:r>
        <w:rPr>
          <w:sz w:val="24"/>
        </w:rPr>
        <w:t>identiques</w:t>
      </w:r>
      <w:r>
        <w:rPr>
          <w:spacing w:val="-3"/>
          <w:sz w:val="24"/>
        </w:rPr>
        <w:t> </w:t>
      </w:r>
      <w:r>
        <w:rPr>
          <w:sz w:val="24"/>
        </w:rPr>
        <w:t>sur</w:t>
      </w:r>
      <w:r>
        <w:rPr>
          <w:spacing w:val="-2"/>
          <w:sz w:val="24"/>
        </w:rPr>
        <w:t> </w:t>
      </w:r>
      <w:r>
        <w:rPr>
          <w:sz w:val="24"/>
        </w:rPr>
        <w:t>le</w:t>
      </w:r>
      <w:r>
        <w:rPr>
          <w:spacing w:val="-2"/>
          <w:sz w:val="24"/>
        </w:rPr>
        <w:t> </w:t>
      </w:r>
      <w:r>
        <w:rPr>
          <w:sz w:val="24"/>
        </w:rPr>
        <w:t>plan</w:t>
      </w:r>
      <w:r>
        <w:rPr>
          <w:spacing w:val="-1"/>
          <w:sz w:val="24"/>
        </w:rPr>
        <w:t> </w:t>
      </w:r>
      <w:r>
        <w:rPr>
          <w:spacing w:val="-2"/>
          <w:sz w:val="24"/>
        </w:rPr>
        <w:t>conceptuel.</w:t>
      </w:r>
    </w:p>
    <w:p>
      <w:pPr>
        <w:pStyle w:val="ListParagraph"/>
        <w:numPr>
          <w:ilvl w:val="0"/>
          <w:numId w:val="4"/>
        </w:numPr>
        <w:tabs>
          <w:tab w:pos="1015" w:val="left" w:leader="none"/>
          <w:tab w:pos="1017" w:val="left" w:leader="none"/>
        </w:tabs>
        <w:spacing w:line="240" w:lineRule="auto" w:before="238" w:after="0"/>
        <w:ind w:left="1017" w:right="163" w:hanging="428"/>
        <w:jc w:val="both"/>
        <w:rPr>
          <w:sz w:val="24"/>
        </w:rPr>
      </w:pPr>
      <w:r>
        <w:rPr>
          <w:sz w:val="24"/>
        </w:rPr>
        <w:t>Il résulte de ce qui précède que les signes</w:t>
      </w:r>
      <w:r>
        <w:rPr>
          <w:spacing w:val="79"/>
          <w:sz w:val="24"/>
        </w:rPr>
        <w:t> </w:t>
      </w:r>
      <w:r>
        <w:rPr>
          <w:spacing w:val="21"/>
          <w:position w:val="5"/>
          <w:sz w:val="24"/>
        </w:rPr>
        <w:drawing>
          <wp:inline distT="0" distB="0" distL="0" distR="0">
            <wp:extent cx="138676" cy="205625"/>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8" cstate="print"/>
                    <a:stretch>
                      <a:fillRect/>
                    </a:stretch>
                  </pic:blipFill>
                  <pic:spPr>
                    <a:xfrm>
                      <a:off x="0" y="0"/>
                      <a:ext cx="138676" cy="205625"/>
                    </a:xfrm>
                    <a:prstGeom prst="rect">
                      <a:avLst/>
                    </a:prstGeom>
                  </pic:spPr>
                </pic:pic>
              </a:graphicData>
            </a:graphic>
          </wp:inline>
        </w:drawing>
      </w:r>
      <w:r>
        <w:rPr>
          <w:spacing w:val="21"/>
          <w:position w:val="5"/>
          <w:sz w:val="24"/>
        </w:rPr>
      </w:r>
      <w:r>
        <w:rPr>
          <w:spacing w:val="40"/>
          <w:sz w:val="24"/>
        </w:rPr>
        <w:t> </w:t>
      </w:r>
      <w:r>
        <w:rPr>
          <w:sz w:val="24"/>
        </w:rPr>
        <w:t>et </w:t>
      </w:r>
      <w:r>
        <w:rPr>
          <w:spacing w:val="4"/>
          <w:sz w:val="24"/>
        </w:rPr>
        <w:drawing>
          <wp:inline distT="0" distB="0" distL="0" distR="0">
            <wp:extent cx="186029" cy="278129"/>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7" cstate="print"/>
                    <a:stretch>
                      <a:fillRect/>
                    </a:stretch>
                  </pic:blipFill>
                  <pic:spPr>
                    <a:xfrm>
                      <a:off x="0" y="0"/>
                      <a:ext cx="186029" cy="278129"/>
                    </a:xfrm>
                    <a:prstGeom prst="rect">
                      <a:avLst/>
                    </a:prstGeom>
                  </pic:spPr>
                </pic:pic>
              </a:graphicData>
            </a:graphic>
          </wp:inline>
        </w:drawing>
      </w:r>
      <w:r>
        <w:rPr>
          <w:spacing w:val="4"/>
          <w:sz w:val="24"/>
        </w:rPr>
      </w:r>
      <w:r>
        <w:rPr>
          <w:spacing w:val="3"/>
          <w:sz w:val="24"/>
        </w:rPr>
        <w:t> </w:t>
      </w:r>
      <w:r>
        <w:rPr>
          <w:sz w:val="24"/>
        </w:rPr>
        <w:t>sont similaires à un degré élevé (à tout le moins entre élevé et moyen) sur le plan visuel, similaires sur le plan phonétique à un degré compris entre élevé et moyen et identiques sur le plan </w:t>
      </w:r>
      <w:r>
        <w:rPr>
          <w:spacing w:val="-2"/>
          <w:sz w:val="24"/>
        </w:rPr>
        <w:t>conceptuel.</w:t>
      </w:r>
    </w:p>
    <w:p>
      <w:pPr>
        <w:pStyle w:val="ListParagraph"/>
        <w:numPr>
          <w:ilvl w:val="0"/>
          <w:numId w:val="4"/>
        </w:numPr>
        <w:tabs>
          <w:tab w:pos="1015" w:val="left" w:leader="none"/>
          <w:tab w:pos="1017" w:val="left" w:leader="none"/>
        </w:tabs>
        <w:spacing w:line="240" w:lineRule="auto" w:before="237" w:after="0"/>
        <w:ind w:left="1017" w:right="165" w:hanging="428"/>
        <w:jc w:val="both"/>
        <w:rPr>
          <w:sz w:val="24"/>
        </w:rPr>
      </w:pPr>
      <w:r>
        <w:rPr>
          <w:sz w:val="24"/>
        </w:rPr>
        <w:t>Les signes doivent, dans l’ensemble, être considérés comme similaires à un degré élevé, et en tout état de cause à un degré supérieur à la moyenne.</w:t>
      </w:r>
    </w:p>
    <w:p>
      <w:pPr>
        <w:pStyle w:val="BodyText"/>
        <w:spacing w:before="85"/>
      </w:pPr>
    </w:p>
    <w:p>
      <w:pPr>
        <w:spacing w:line="446" w:lineRule="auto" w:before="0"/>
        <w:ind w:left="590" w:right="4490" w:firstLine="0"/>
        <w:jc w:val="left"/>
        <w:rPr>
          <w:i/>
          <w:sz w:val="24"/>
        </w:rPr>
      </w:pPr>
      <w:r>
        <w:rPr>
          <w:i/>
          <w:sz w:val="24"/>
        </w:rPr>
        <w:t>Comparaison</w:t>
      </w:r>
      <w:r>
        <w:rPr>
          <w:i/>
          <w:spacing w:val="-6"/>
          <w:sz w:val="24"/>
        </w:rPr>
        <w:t> </w:t>
      </w:r>
      <w:r>
        <w:rPr>
          <w:i/>
          <w:sz w:val="24"/>
        </w:rPr>
        <w:t>des</w:t>
      </w:r>
      <w:r>
        <w:rPr>
          <w:i/>
          <w:spacing w:val="-4"/>
          <w:sz w:val="24"/>
        </w:rPr>
        <w:t> </w:t>
      </w:r>
      <w:r>
        <w:rPr>
          <w:i/>
          <w:sz w:val="24"/>
        </w:rPr>
        <w:t>signes</w:t>
      </w:r>
      <w:r>
        <w:rPr>
          <w:i/>
          <w:spacing w:val="-4"/>
          <w:sz w:val="24"/>
        </w:rPr>
        <w:t> </w:t>
      </w:r>
      <w:r>
        <w:rPr>
          <w:i/>
          <w:sz w:val="24"/>
        </w:rPr>
        <w:t>no</w:t>
      </w:r>
      <w:r>
        <w:rPr>
          <w:i/>
          <w:spacing w:val="-4"/>
          <w:sz w:val="24"/>
        </w:rPr>
        <w:t> </w:t>
      </w:r>
      <w:r>
        <w:rPr>
          <w:i/>
          <w:sz w:val="24"/>
        </w:rPr>
        <w:t>5</w:t>
      </w:r>
      <w:r>
        <w:rPr>
          <w:i/>
          <w:spacing w:val="-4"/>
          <w:sz w:val="24"/>
        </w:rPr>
        <w:t> </w:t>
      </w:r>
      <w:r>
        <w:rPr>
          <w:i/>
          <w:sz w:val="24"/>
        </w:rPr>
        <w:t>et</w:t>
      </w:r>
      <w:r>
        <w:rPr>
          <w:i/>
          <w:spacing w:val="-16"/>
          <w:sz w:val="24"/>
        </w:rPr>
        <w:t> </w:t>
      </w:r>
      <w:r>
        <w:rPr>
          <w:i/>
          <w:sz w:val="24"/>
        </w:rPr>
        <w:drawing>
          <wp:inline distT="0" distB="0" distL="0" distR="0">
            <wp:extent cx="154939" cy="231648"/>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7" cstate="print"/>
                    <a:stretch>
                      <a:fillRect/>
                    </a:stretch>
                  </pic:blipFill>
                  <pic:spPr>
                    <a:xfrm>
                      <a:off x="0" y="0"/>
                      <a:ext cx="154939" cy="231648"/>
                    </a:xfrm>
                    <a:prstGeom prst="rect">
                      <a:avLst/>
                    </a:prstGeom>
                  </pic:spPr>
                </pic:pic>
              </a:graphicData>
            </a:graphic>
          </wp:inline>
        </w:drawing>
      </w:r>
      <w:r>
        <w:rPr>
          <w:i/>
          <w:sz w:val="24"/>
        </w:rPr>
      </w:r>
      <w:r>
        <w:rPr>
          <w:sz w:val="24"/>
        </w:rPr>
        <w:t> </w:t>
      </w:r>
      <w:r>
        <w:rPr>
          <w:i/>
          <w:sz w:val="24"/>
        </w:rPr>
        <w:t>Similitude visuelle</w:t>
      </w:r>
    </w:p>
    <w:p>
      <w:pPr>
        <w:pStyle w:val="ListParagraph"/>
        <w:numPr>
          <w:ilvl w:val="0"/>
          <w:numId w:val="4"/>
        </w:numPr>
        <w:tabs>
          <w:tab w:pos="1015" w:val="left" w:leader="none"/>
          <w:tab w:pos="1017" w:val="left" w:leader="none"/>
        </w:tabs>
        <w:spacing w:line="240" w:lineRule="auto" w:before="49" w:after="0"/>
        <w:ind w:left="1017" w:right="165" w:hanging="428"/>
        <w:jc w:val="both"/>
        <w:rPr>
          <w:sz w:val="24"/>
        </w:rPr>
      </w:pPr>
      <w:r>
        <w:rPr>
          <w:sz w:val="24"/>
        </w:rPr>
        <w:t>La combinaison des éléments «No» et «5» dans la marque antérieure est logique et apparaîtra</w:t>
      </w:r>
      <w:r>
        <w:rPr>
          <w:spacing w:val="-15"/>
          <w:sz w:val="24"/>
        </w:rPr>
        <w:t> </w:t>
      </w:r>
      <w:r>
        <w:rPr>
          <w:sz w:val="24"/>
        </w:rPr>
        <w:t>au</w:t>
      </w:r>
      <w:r>
        <w:rPr>
          <w:spacing w:val="-15"/>
          <w:sz w:val="24"/>
        </w:rPr>
        <w:t> </w:t>
      </w:r>
      <w:r>
        <w:rPr>
          <w:sz w:val="24"/>
        </w:rPr>
        <w:t>public</w:t>
      </w:r>
      <w:r>
        <w:rPr>
          <w:spacing w:val="-15"/>
          <w:sz w:val="24"/>
        </w:rPr>
        <w:t> </w:t>
      </w:r>
      <w:r>
        <w:rPr>
          <w:sz w:val="24"/>
        </w:rPr>
        <w:t>dans</w:t>
      </w:r>
      <w:r>
        <w:rPr>
          <w:spacing w:val="-13"/>
          <w:sz w:val="24"/>
        </w:rPr>
        <w:t> </w:t>
      </w:r>
      <w:r>
        <w:rPr>
          <w:sz w:val="24"/>
        </w:rPr>
        <w:t>son</w:t>
      </w:r>
      <w:r>
        <w:rPr>
          <w:spacing w:val="-15"/>
          <w:sz w:val="24"/>
        </w:rPr>
        <w:t> </w:t>
      </w:r>
      <w:r>
        <w:rPr>
          <w:sz w:val="24"/>
        </w:rPr>
        <w:t>ensemble,</w:t>
      </w:r>
      <w:r>
        <w:rPr>
          <w:spacing w:val="-15"/>
          <w:sz w:val="24"/>
        </w:rPr>
        <w:t> </w:t>
      </w:r>
      <w:r>
        <w:rPr>
          <w:sz w:val="24"/>
        </w:rPr>
        <w:t>le</w:t>
      </w:r>
      <w:r>
        <w:rPr>
          <w:spacing w:val="-15"/>
          <w:sz w:val="24"/>
        </w:rPr>
        <w:t> </w:t>
      </w:r>
      <w:r>
        <w:rPr>
          <w:sz w:val="24"/>
        </w:rPr>
        <w:t>premier</w:t>
      </w:r>
      <w:r>
        <w:rPr>
          <w:spacing w:val="-14"/>
          <w:sz w:val="24"/>
        </w:rPr>
        <w:t> </w:t>
      </w:r>
      <w:r>
        <w:rPr>
          <w:sz w:val="24"/>
        </w:rPr>
        <w:t>n’étant</w:t>
      </w:r>
      <w:r>
        <w:rPr>
          <w:spacing w:val="-15"/>
          <w:sz w:val="24"/>
        </w:rPr>
        <w:t> </w:t>
      </w:r>
      <w:r>
        <w:rPr>
          <w:sz w:val="24"/>
        </w:rPr>
        <w:t>qu’un</w:t>
      </w:r>
      <w:r>
        <w:rPr>
          <w:spacing w:val="-14"/>
          <w:sz w:val="24"/>
        </w:rPr>
        <w:t> </w:t>
      </w:r>
      <w:r>
        <w:rPr>
          <w:sz w:val="24"/>
        </w:rPr>
        <w:t>élément</w:t>
      </w:r>
      <w:r>
        <w:rPr>
          <w:spacing w:val="-15"/>
          <w:sz w:val="24"/>
        </w:rPr>
        <w:t> </w:t>
      </w:r>
      <w:r>
        <w:rPr>
          <w:sz w:val="24"/>
        </w:rPr>
        <w:t>déterminant.</w:t>
      </w:r>
    </w:p>
    <w:p>
      <w:pPr>
        <w:pStyle w:val="ListParagraph"/>
        <w:numPr>
          <w:ilvl w:val="0"/>
          <w:numId w:val="4"/>
        </w:numPr>
        <w:tabs>
          <w:tab w:pos="1015" w:val="left" w:leader="none"/>
          <w:tab w:pos="1017" w:val="left" w:leader="none"/>
        </w:tabs>
        <w:spacing w:line="240" w:lineRule="auto" w:before="238" w:after="0"/>
        <w:ind w:left="1017" w:right="163" w:hanging="428"/>
        <w:jc w:val="both"/>
        <w:rPr>
          <w:sz w:val="24"/>
        </w:rPr>
      </w:pPr>
      <w:r>
        <w:rPr>
          <w:sz w:val="24"/>
        </w:rPr>
        <w:t>Le</w:t>
      </w:r>
      <w:r>
        <w:rPr>
          <w:spacing w:val="-7"/>
          <w:sz w:val="24"/>
        </w:rPr>
        <w:t> </w:t>
      </w:r>
      <w:r>
        <w:rPr>
          <w:sz w:val="24"/>
        </w:rPr>
        <w:t>signe</w:t>
      </w:r>
      <w:r>
        <w:rPr>
          <w:spacing w:val="-5"/>
          <w:sz w:val="24"/>
        </w:rPr>
        <w:t> </w:t>
      </w:r>
      <w:r>
        <w:rPr>
          <w:sz w:val="24"/>
        </w:rPr>
        <w:t>contesté</w:t>
      </w:r>
      <w:r>
        <w:rPr>
          <w:spacing w:val="-7"/>
          <w:sz w:val="24"/>
        </w:rPr>
        <w:t> </w:t>
      </w:r>
      <w:r>
        <w:rPr>
          <w:sz w:val="24"/>
        </w:rPr>
        <w:t>se</w:t>
      </w:r>
      <w:r>
        <w:rPr>
          <w:spacing w:val="-5"/>
          <w:sz w:val="24"/>
        </w:rPr>
        <w:t> </w:t>
      </w:r>
      <w:r>
        <w:rPr>
          <w:sz w:val="24"/>
        </w:rPr>
        <w:t>compose</w:t>
      </w:r>
      <w:r>
        <w:rPr>
          <w:spacing w:val="-7"/>
          <w:sz w:val="24"/>
        </w:rPr>
        <w:t> </w:t>
      </w:r>
      <w:r>
        <w:rPr>
          <w:sz w:val="24"/>
        </w:rPr>
        <w:t>du</w:t>
      </w:r>
      <w:r>
        <w:rPr>
          <w:spacing w:val="-6"/>
          <w:sz w:val="24"/>
        </w:rPr>
        <w:t> </w:t>
      </w:r>
      <w:r>
        <w:rPr>
          <w:sz w:val="24"/>
        </w:rPr>
        <w:t>nombre</w:t>
      </w:r>
      <w:r>
        <w:rPr>
          <w:spacing w:val="-3"/>
          <w:sz w:val="24"/>
        </w:rPr>
        <w:t> </w:t>
      </w:r>
      <w:r>
        <w:rPr>
          <w:sz w:val="24"/>
        </w:rPr>
        <w:t>«5»,</w:t>
      </w:r>
      <w:r>
        <w:rPr>
          <w:spacing w:val="-4"/>
          <w:sz w:val="24"/>
        </w:rPr>
        <w:t> </w:t>
      </w:r>
      <w:r>
        <w:rPr>
          <w:sz w:val="24"/>
        </w:rPr>
        <w:t>avec</w:t>
      </w:r>
      <w:r>
        <w:rPr>
          <w:spacing w:val="-7"/>
          <w:sz w:val="24"/>
        </w:rPr>
        <w:t> </w:t>
      </w:r>
      <w:r>
        <w:rPr>
          <w:sz w:val="24"/>
        </w:rPr>
        <w:t>une</w:t>
      </w:r>
      <w:r>
        <w:rPr>
          <w:spacing w:val="-7"/>
          <w:sz w:val="24"/>
        </w:rPr>
        <w:t> </w:t>
      </w:r>
      <w:r>
        <w:rPr>
          <w:sz w:val="24"/>
        </w:rPr>
        <w:t>ligne</w:t>
      </w:r>
      <w:r>
        <w:rPr>
          <w:spacing w:val="-7"/>
          <w:sz w:val="24"/>
        </w:rPr>
        <w:t> </w:t>
      </w:r>
      <w:r>
        <w:rPr>
          <w:sz w:val="24"/>
        </w:rPr>
        <w:t>supérieure</w:t>
      </w:r>
      <w:r>
        <w:rPr>
          <w:spacing w:val="-4"/>
          <w:sz w:val="24"/>
        </w:rPr>
        <w:t> </w:t>
      </w:r>
      <w:r>
        <w:rPr>
          <w:sz w:val="24"/>
        </w:rPr>
        <w:t>«qui</w:t>
      </w:r>
      <w:r>
        <w:rPr>
          <w:spacing w:val="-5"/>
          <w:sz w:val="24"/>
        </w:rPr>
        <w:t> </w:t>
      </w:r>
      <w:r>
        <w:rPr>
          <w:sz w:val="24"/>
        </w:rPr>
        <w:t>s’écarte des</w:t>
      </w:r>
      <w:r>
        <w:rPr>
          <w:spacing w:val="-5"/>
          <w:sz w:val="24"/>
        </w:rPr>
        <w:t> </w:t>
      </w:r>
      <w:r>
        <w:rPr>
          <w:sz w:val="24"/>
        </w:rPr>
        <w:t>polices</w:t>
      </w:r>
      <w:r>
        <w:rPr>
          <w:spacing w:val="-5"/>
          <w:sz w:val="24"/>
        </w:rPr>
        <w:t> </w:t>
      </w:r>
      <w:r>
        <w:rPr>
          <w:sz w:val="24"/>
        </w:rPr>
        <w:t>de</w:t>
      </w:r>
      <w:r>
        <w:rPr>
          <w:spacing w:val="-5"/>
          <w:sz w:val="24"/>
        </w:rPr>
        <w:t> </w:t>
      </w:r>
      <w:r>
        <w:rPr>
          <w:sz w:val="24"/>
        </w:rPr>
        <w:t>caractères</w:t>
      </w:r>
      <w:r>
        <w:rPr>
          <w:spacing w:val="-2"/>
          <w:sz w:val="24"/>
        </w:rPr>
        <w:t> </w:t>
      </w:r>
      <w:r>
        <w:rPr>
          <w:sz w:val="24"/>
        </w:rPr>
        <w:t>standard</w:t>
      </w:r>
      <w:r>
        <w:rPr>
          <w:spacing w:val="-4"/>
          <w:sz w:val="24"/>
        </w:rPr>
        <w:t> </w:t>
      </w:r>
      <w:r>
        <w:rPr>
          <w:sz w:val="24"/>
        </w:rPr>
        <w:t>en</w:t>
      </w:r>
      <w:r>
        <w:rPr>
          <w:spacing w:val="-4"/>
          <w:sz w:val="24"/>
        </w:rPr>
        <w:t> </w:t>
      </w:r>
      <w:r>
        <w:rPr>
          <w:sz w:val="24"/>
        </w:rPr>
        <w:t>ce</w:t>
      </w:r>
      <w:r>
        <w:rPr>
          <w:spacing w:val="-5"/>
          <w:sz w:val="24"/>
        </w:rPr>
        <w:t> </w:t>
      </w:r>
      <w:r>
        <w:rPr>
          <w:sz w:val="24"/>
        </w:rPr>
        <w:t>qu’il</w:t>
      </w:r>
      <w:r>
        <w:rPr>
          <w:spacing w:val="-4"/>
          <w:sz w:val="24"/>
        </w:rPr>
        <w:t> </w:t>
      </w:r>
      <w:r>
        <w:rPr>
          <w:sz w:val="24"/>
        </w:rPr>
        <w:t>représente</w:t>
      </w:r>
      <w:r>
        <w:rPr>
          <w:spacing w:val="-4"/>
          <w:sz w:val="24"/>
        </w:rPr>
        <w:t> </w:t>
      </w:r>
      <w:r>
        <w:rPr>
          <w:sz w:val="24"/>
        </w:rPr>
        <w:t>un</w:t>
      </w:r>
      <w:r>
        <w:rPr>
          <w:spacing w:val="-4"/>
          <w:sz w:val="24"/>
        </w:rPr>
        <w:t> </w:t>
      </w:r>
      <w:r>
        <w:rPr>
          <w:sz w:val="24"/>
        </w:rPr>
        <w:t>élément</w:t>
      </w:r>
      <w:r>
        <w:rPr>
          <w:spacing w:val="-4"/>
          <w:sz w:val="24"/>
        </w:rPr>
        <w:t> </w:t>
      </w:r>
      <w:r>
        <w:rPr>
          <w:sz w:val="24"/>
        </w:rPr>
        <w:t>supplémentaire». Cet élément additionnel, qui se confond avec la ligne supérieure du nombre «5», est inhabituel dans la représentation du nombre «5». Toutefois, cet élément additionnel n’est</w:t>
      </w:r>
      <w:r>
        <w:rPr>
          <w:spacing w:val="-4"/>
          <w:sz w:val="24"/>
        </w:rPr>
        <w:t> </w:t>
      </w:r>
      <w:r>
        <w:rPr>
          <w:sz w:val="24"/>
        </w:rPr>
        <w:t>pas,</w:t>
      </w:r>
      <w:r>
        <w:rPr>
          <w:spacing w:val="-5"/>
          <w:sz w:val="24"/>
        </w:rPr>
        <w:t> </w:t>
      </w:r>
      <w:r>
        <w:rPr>
          <w:sz w:val="24"/>
        </w:rPr>
        <w:t>dans</w:t>
      </w:r>
      <w:r>
        <w:rPr>
          <w:spacing w:val="-5"/>
          <w:sz w:val="24"/>
        </w:rPr>
        <w:t> </w:t>
      </w:r>
      <w:r>
        <w:rPr>
          <w:sz w:val="24"/>
        </w:rPr>
        <w:t>l’impression</w:t>
      </w:r>
      <w:r>
        <w:rPr>
          <w:spacing w:val="-5"/>
          <w:sz w:val="24"/>
        </w:rPr>
        <w:t> </w:t>
      </w:r>
      <w:r>
        <w:rPr>
          <w:sz w:val="24"/>
        </w:rPr>
        <w:t>d’ensemble</w:t>
      </w:r>
      <w:r>
        <w:rPr>
          <w:spacing w:val="-6"/>
          <w:sz w:val="24"/>
        </w:rPr>
        <w:t> </w:t>
      </w:r>
      <w:r>
        <w:rPr>
          <w:sz w:val="24"/>
        </w:rPr>
        <w:t>produite</w:t>
      </w:r>
      <w:r>
        <w:rPr>
          <w:spacing w:val="-6"/>
          <w:sz w:val="24"/>
        </w:rPr>
        <w:t> </w:t>
      </w:r>
      <w:r>
        <w:rPr>
          <w:sz w:val="24"/>
        </w:rPr>
        <w:t>par</w:t>
      </w:r>
      <w:r>
        <w:rPr>
          <w:spacing w:val="-6"/>
          <w:sz w:val="24"/>
        </w:rPr>
        <w:t> </w:t>
      </w:r>
      <w:r>
        <w:rPr>
          <w:sz w:val="24"/>
        </w:rPr>
        <w:t>le</w:t>
      </w:r>
      <w:r>
        <w:rPr>
          <w:spacing w:val="-5"/>
          <w:sz w:val="24"/>
        </w:rPr>
        <w:t> </w:t>
      </w:r>
      <w:r>
        <w:rPr>
          <w:sz w:val="24"/>
        </w:rPr>
        <w:t>signe,</w:t>
      </w:r>
      <w:r>
        <w:rPr>
          <w:spacing w:val="-5"/>
          <w:sz w:val="24"/>
        </w:rPr>
        <w:t> </w:t>
      </w:r>
      <w:r>
        <w:rPr>
          <w:sz w:val="24"/>
        </w:rPr>
        <w:t>destiné</w:t>
      </w:r>
      <w:r>
        <w:rPr>
          <w:spacing w:val="-6"/>
          <w:sz w:val="24"/>
        </w:rPr>
        <w:t> </w:t>
      </w:r>
      <w:r>
        <w:rPr>
          <w:sz w:val="24"/>
        </w:rPr>
        <w:t>à</w:t>
      </w:r>
      <w:r>
        <w:rPr>
          <w:spacing w:val="-3"/>
          <w:sz w:val="24"/>
        </w:rPr>
        <w:t> </w:t>
      </w:r>
      <w:r>
        <w:rPr>
          <w:sz w:val="24"/>
        </w:rPr>
        <w:t>être</w:t>
      </w:r>
      <w:r>
        <w:rPr>
          <w:spacing w:val="-4"/>
          <w:sz w:val="24"/>
        </w:rPr>
        <w:t> </w:t>
      </w:r>
      <w:r>
        <w:rPr>
          <w:sz w:val="24"/>
        </w:rPr>
        <w:t>perçu</w:t>
      </w:r>
      <w:r>
        <w:rPr>
          <w:spacing w:val="-5"/>
          <w:sz w:val="24"/>
        </w:rPr>
        <w:t> </w:t>
      </w:r>
      <w:r>
        <w:rPr>
          <w:sz w:val="24"/>
        </w:rPr>
        <w:t>par le public pertinent comme ayant une signification prédéterminée. Il peut être perçu comme</w:t>
      </w:r>
      <w:r>
        <w:rPr>
          <w:spacing w:val="-1"/>
          <w:sz w:val="24"/>
        </w:rPr>
        <w:t> </w:t>
      </w:r>
      <w:r>
        <w:rPr>
          <w:sz w:val="24"/>
        </w:rPr>
        <w:t>un élément graphique dépourvu de</w:t>
      </w:r>
      <w:r>
        <w:rPr>
          <w:spacing w:val="-1"/>
          <w:sz w:val="24"/>
        </w:rPr>
        <w:t> </w:t>
      </w:r>
      <w:r>
        <w:rPr>
          <w:sz w:val="24"/>
        </w:rPr>
        <w:t>signification, ou comme</w:t>
      </w:r>
      <w:r>
        <w:rPr>
          <w:spacing w:val="-1"/>
          <w:sz w:val="24"/>
        </w:rPr>
        <w:t> </w:t>
      </w:r>
      <w:r>
        <w:rPr>
          <w:sz w:val="24"/>
        </w:rPr>
        <w:t>la représentation graphique de parties de produits, telles que les bristles d’une brosse (pour poudre ou vernis) ou une brosse pour cils, ou comme la représentation d’une lettre, telle qu’un</w:t>
      </w:r>
    </w:p>
    <w:p>
      <w:pPr>
        <w:pStyle w:val="BodyText"/>
        <w:spacing w:line="276" w:lineRule="exact"/>
        <w:ind w:left="1017"/>
        <w:jc w:val="both"/>
      </w:pPr>
      <w:r>
        <w:rPr/>
        <w:t>«m»</w:t>
      </w:r>
      <w:r>
        <w:rPr>
          <w:spacing w:val="-8"/>
        </w:rPr>
        <w:t> </w:t>
      </w:r>
      <w:r>
        <w:rPr/>
        <w:t>ou</w:t>
      </w:r>
      <w:r>
        <w:rPr>
          <w:spacing w:val="1"/>
        </w:rPr>
        <w:t> </w:t>
      </w:r>
      <w:r>
        <w:rPr/>
        <w:t>un</w:t>
      </w:r>
      <w:r>
        <w:rPr>
          <w:spacing w:val="5"/>
        </w:rPr>
        <w:t> </w:t>
      </w:r>
      <w:r>
        <w:rPr>
          <w:spacing w:val="-4"/>
        </w:rPr>
        <w:t>«n».</w:t>
      </w:r>
    </w:p>
    <w:p>
      <w:pPr>
        <w:pStyle w:val="ListParagraph"/>
        <w:numPr>
          <w:ilvl w:val="0"/>
          <w:numId w:val="4"/>
        </w:numPr>
        <w:tabs>
          <w:tab w:pos="1015" w:val="left" w:leader="none"/>
          <w:tab w:pos="1017" w:val="left" w:leader="none"/>
        </w:tabs>
        <w:spacing w:line="240" w:lineRule="auto" w:before="240" w:after="0"/>
        <w:ind w:left="1017" w:right="160" w:hanging="428"/>
        <w:jc w:val="both"/>
        <w:rPr>
          <w:sz w:val="24"/>
        </w:rPr>
      </w:pPr>
      <w:r>
        <w:rPr>
          <w:sz w:val="24"/>
        </w:rPr>
        <w:t>Il</w:t>
      </w:r>
      <w:r>
        <w:rPr>
          <w:spacing w:val="-15"/>
          <w:sz w:val="24"/>
        </w:rPr>
        <w:t> </w:t>
      </w:r>
      <w:r>
        <w:rPr>
          <w:sz w:val="24"/>
        </w:rPr>
        <w:t>ne</w:t>
      </w:r>
      <w:r>
        <w:rPr>
          <w:spacing w:val="-15"/>
          <w:sz w:val="24"/>
        </w:rPr>
        <w:t> </w:t>
      </w:r>
      <w:r>
        <w:rPr>
          <w:sz w:val="24"/>
        </w:rPr>
        <w:t>saurait</w:t>
      </w:r>
      <w:r>
        <w:rPr>
          <w:spacing w:val="-15"/>
          <w:sz w:val="24"/>
        </w:rPr>
        <w:t> </w:t>
      </w:r>
      <w:r>
        <w:rPr>
          <w:sz w:val="24"/>
        </w:rPr>
        <w:t>être</w:t>
      </w:r>
      <w:r>
        <w:rPr>
          <w:spacing w:val="-15"/>
          <w:sz w:val="24"/>
        </w:rPr>
        <w:t> </w:t>
      </w:r>
      <w:r>
        <w:rPr>
          <w:sz w:val="24"/>
        </w:rPr>
        <w:t>présumé</w:t>
      </w:r>
      <w:r>
        <w:rPr>
          <w:spacing w:val="-12"/>
          <w:sz w:val="24"/>
        </w:rPr>
        <w:t> </w:t>
      </w:r>
      <w:r>
        <w:rPr>
          <w:sz w:val="24"/>
        </w:rPr>
        <w:t>que</w:t>
      </w:r>
      <w:r>
        <w:rPr>
          <w:spacing w:val="-15"/>
          <w:sz w:val="24"/>
        </w:rPr>
        <w:t> </w:t>
      </w:r>
      <w:r>
        <w:rPr>
          <w:sz w:val="24"/>
        </w:rPr>
        <w:t>l’une</w:t>
      </w:r>
      <w:r>
        <w:rPr>
          <w:spacing w:val="-15"/>
          <w:sz w:val="24"/>
        </w:rPr>
        <w:t> </w:t>
      </w:r>
      <w:r>
        <w:rPr>
          <w:sz w:val="24"/>
        </w:rPr>
        <w:t>ou</w:t>
      </w:r>
      <w:r>
        <w:rPr>
          <w:spacing w:val="-14"/>
          <w:sz w:val="24"/>
        </w:rPr>
        <w:t> </w:t>
      </w:r>
      <w:r>
        <w:rPr>
          <w:sz w:val="24"/>
        </w:rPr>
        <w:t>l’autre</w:t>
      </w:r>
      <w:r>
        <w:rPr>
          <w:spacing w:val="-15"/>
          <w:sz w:val="24"/>
        </w:rPr>
        <w:t> </w:t>
      </w:r>
      <w:r>
        <w:rPr>
          <w:sz w:val="24"/>
        </w:rPr>
        <w:t>de</w:t>
      </w:r>
      <w:r>
        <w:rPr>
          <w:spacing w:val="-13"/>
          <w:sz w:val="24"/>
        </w:rPr>
        <w:t> </w:t>
      </w:r>
      <w:r>
        <w:rPr>
          <w:sz w:val="24"/>
        </w:rPr>
        <w:t>ces</w:t>
      </w:r>
      <w:r>
        <w:rPr>
          <w:spacing w:val="-14"/>
          <w:sz w:val="24"/>
        </w:rPr>
        <w:t> </w:t>
      </w:r>
      <w:r>
        <w:rPr>
          <w:sz w:val="24"/>
        </w:rPr>
        <w:t>perceptions</w:t>
      </w:r>
      <w:r>
        <w:rPr>
          <w:spacing w:val="-14"/>
          <w:sz w:val="24"/>
        </w:rPr>
        <w:t> </w:t>
      </w:r>
      <w:r>
        <w:rPr>
          <w:sz w:val="24"/>
        </w:rPr>
        <w:t>est</w:t>
      </w:r>
      <w:r>
        <w:rPr>
          <w:spacing w:val="-14"/>
          <w:sz w:val="24"/>
        </w:rPr>
        <w:t> </w:t>
      </w:r>
      <w:r>
        <w:rPr>
          <w:sz w:val="24"/>
        </w:rPr>
        <w:t>plus</w:t>
      </w:r>
      <w:r>
        <w:rPr>
          <w:spacing w:val="-14"/>
          <w:sz w:val="24"/>
        </w:rPr>
        <w:t> </w:t>
      </w:r>
      <w:r>
        <w:rPr>
          <w:sz w:val="24"/>
        </w:rPr>
        <w:t>contraignante pour le public pertinent. La demanderesse n’a fourni aucun élément de preuve à cet égard, et la demande d’enregistrement ne contient aucune description du signe.</w:t>
      </w:r>
    </w:p>
    <w:p>
      <w:pPr>
        <w:pStyle w:val="ListParagraph"/>
        <w:numPr>
          <w:ilvl w:val="0"/>
          <w:numId w:val="4"/>
        </w:numPr>
        <w:tabs>
          <w:tab w:pos="1015" w:val="left" w:leader="none"/>
          <w:tab w:pos="1017" w:val="left" w:leader="none"/>
        </w:tabs>
        <w:spacing w:line="240" w:lineRule="auto" w:before="239" w:after="0"/>
        <w:ind w:left="1017" w:right="161" w:hanging="428"/>
        <w:jc w:val="both"/>
        <w:rPr>
          <w:sz w:val="24"/>
        </w:rPr>
      </w:pPr>
      <w:r>
        <w:rPr>
          <w:sz w:val="24"/>
        </w:rPr>
        <w:t>Cet élément additionnel, bien que non négligeable dans l’impression d’ensemble produite</w:t>
      </w:r>
      <w:r>
        <w:rPr>
          <w:spacing w:val="-6"/>
          <w:sz w:val="24"/>
        </w:rPr>
        <w:t> </w:t>
      </w:r>
      <w:r>
        <w:rPr>
          <w:sz w:val="24"/>
        </w:rPr>
        <w:t>par</w:t>
      </w:r>
      <w:r>
        <w:rPr>
          <w:spacing w:val="-3"/>
          <w:sz w:val="24"/>
        </w:rPr>
        <w:t> </w:t>
      </w:r>
      <w:r>
        <w:rPr>
          <w:sz w:val="24"/>
        </w:rPr>
        <w:t>le</w:t>
      </w:r>
      <w:r>
        <w:rPr>
          <w:spacing w:val="-5"/>
          <w:sz w:val="24"/>
        </w:rPr>
        <w:t> </w:t>
      </w:r>
      <w:r>
        <w:rPr>
          <w:sz w:val="24"/>
        </w:rPr>
        <w:t>signe</w:t>
      </w:r>
      <w:r>
        <w:rPr>
          <w:spacing w:val="-4"/>
          <w:sz w:val="24"/>
        </w:rPr>
        <w:t> </w:t>
      </w:r>
      <w:r>
        <w:rPr>
          <w:sz w:val="24"/>
        </w:rPr>
        <w:t>contesté,</w:t>
      </w:r>
      <w:r>
        <w:rPr>
          <w:spacing w:val="-5"/>
          <w:sz w:val="24"/>
        </w:rPr>
        <w:t> </w:t>
      </w:r>
      <w:r>
        <w:rPr>
          <w:sz w:val="24"/>
        </w:rPr>
        <w:t>reste</w:t>
      </w:r>
      <w:r>
        <w:rPr>
          <w:spacing w:val="-5"/>
          <w:sz w:val="24"/>
        </w:rPr>
        <w:t> </w:t>
      </w:r>
      <w:r>
        <w:rPr>
          <w:sz w:val="24"/>
        </w:rPr>
        <w:t>néanmoins</w:t>
      </w:r>
      <w:r>
        <w:rPr>
          <w:spacing w:val="-5"/>
          <w:sz w:val="24"/>
        </w:rPr>
        <w:t> </w:t>
      </w:r>
      <w:r>
        <w:rPr>
          <w:sz w:val="24"/>
        </w:rPr>
        <w:t>secondaire</w:t>
      </w:r>
      <w:r>
        <w:rPr>
          <w:spacing w:val="-4"/>
          <w:sz w:val="24"/>
        </w:rPr>
        <w:t> </w:t>
      </w:r>
      <w:r>
        <w:rPr>
          <w:sz w:val="24"/>
        </w:rPr>
        <w:t>et</w:t>
      </w:r>
      <w:r>
        <w:rPr>
          <w:spacing w:val="-4"/>
          <w:sz w:val="24"/>
        </w:rPr>
        <w:t> </w:t>
      </w:r>
      <w:r>
        <w:rPr>
          <w:sz w:val="24"/>
        </w:rPr>
        <w:t>n’est</w:t>
      </w:r>
      <w:r>
        <w:rPr>
          <w:spacing w:val="-2"/>
          <w:sz w:val="24"/>
        </w:rPr>
        <w:t> </w:t>
      </w:r>
      <w:r>
        <w:rPr>
          <w:sz w:val="24"/>
        </w:rPr>
        <w:t>pas</w:t>
      </w:r>
      <w:r>
        <w:rPr>
          <w:spacing w:val="-5"/>
          <w:sz w:val="24"/>
        </w:rPr>
        <w:t> </w:t>
      </w:r>
      <w:r>
        <w:rPr>
          <w:sz w:val="24"/>
        </w:rPr>
        <w:t>de</w:t>
      </w:r>
      <w:r>
        <w:rPr>
          <w:spacing w:val="-6"/>
          <w:sz w:val="24"/>
        </w:rPr>
        <w:t> </w:t>
      </w:r>
      <w:r>
        <w:rPr>
          <w:sz w:val="24"/>
        </w:rPr>
        <w:t>nature,</w:t>
      </w:r>
      <w:r>
        <w:rPr>
          <w:spacing w:val="-5"/>
          <w:sz w:val="24"/>
        </w:rPr>
        <w:t> </w:t>
      </w:r>
      <w:r>
        <w:rPr>
          <w:sz w:val="24"/>
        </w:rPr>
        <w:t>à</w:t>
      </w:r>
      <w:r>
        <w:rPr>
          <w:spacing w:val="-4"/>
          <w:sz w:val="24"/>
        </w:rPr>
        <w:t> </w:t>
      </w:r>
      <w:r>
        <w:rPr>
          <w:sz w:val="24"/>
        </w:rPr>
        <w:t>lui seul,</w:t>
      </w:r>
      <w:r>
        <w:rPr>
          <w:spacing w:val="-3"/>
          <w:sz w:val="24"/>
        </w:rPr>
        <w:t> </w:t>
      </w:r>
      <w:r>
        <w:rPr>
          <w:sz w:val="24"/>
        </w:rPr>
        <w:t>à</w:t>
      </w:r>
      <w:r>
        <w:rPr>
          <w:spacing w:val="-3"/>
          <w:sz w:val="24"/>
        </w:rPr>
        <w:t> </w:t>
      </w:r>
      <w:r>
        <w:rPr>
          <w:sz w:val="24"/>
        </w:rPr>
        <w:t>détourner</w:t>
      </w:r>
      <w:r>
        <w:rPr>
          <w:spacing w:val="-3"/>
          <w:sz w:val="24"/>
        </w:rPr>
        <w:t> </w:t>
      </w:r>
      <w:r>
        <w:rPr>
          <w:sz w:val="24"/>
        </w:rPr>
        <w:t>l’attention</w:t>
      </w:r>
      <w:r>
        <w:rPr>
          <w:spacing w:val="-3"/>
          <w:sz w:val="24"/>
        </w:rPr>
        <w:t> </w:t>
      </w:r>
      <w:r>
        <w:rPr>
          <w:sz w:val="24"/>
        </w:rPr>
        <w:t>du</w:t>
      </w:r>
      <w:r>
        <w:rPr>
          <w:spacing w:val="-3"/>
          <w:sz w:val="24"/>
        </w:rPr>
        <w:t> </w:t>
      </w:r>
      <w:r>
        <w:rPr>
          <w:sz w:val="24"/>
        </w:rPr>
        <w:t>consommateur</w:t>
      </w:r>
      <w:r>
        <w:rPr>
          <w:spacing w:val="-2"/>
          <w:sz w:val="24"/>
        </w:rPr>
        <w:t> </w:t>
      </w:r>
      <w:r>
        <w:rPr>
          <w:sz w:val="24"/>
        </w:rPr>
        <w:t>concerné</w:t>
      </w:r>
      <w:r>
        <w:rPr>
          <w:spacing w:val="-3"/>
          <w:sz w:val="24"/>
        </w:rPr>
        <w:t> </w:t>
      </w:r>
      <w:r>
        <w:rPr>
          <w:sz w:val="24"/>
        </w:rPr>
        <w:t>de</w:t>
      </w:r>
      <w:r>
        <w:rPr>
          <w:spacing w:val="-4"/>
          <w:sz w:val="24"/>
        </w:rPr>
        <w:t> </w:t>
      </w:r>
      <w:r>
        <w:rPr>
          <w:sz w:val="24"/>
        </w:rPr>
        <w:t>la</w:t>
      </w:r>
      <w:r>
        <w:rPr>
          <w:spacing w:val="-2"/>
          <w:sz w:val="24"/>
        </w:rPr>
        <w:t> </w:t>
      </w:r>
      <w:r>
        <w:rPr>
          <w:sz w:val="24"/>
        </w:rPr>
        <w:t>représentation</w:t>
      </w:r>
      <w:r>
        <w:rPr>
          <w:spacing w:val="-3"/>
          <w:sz w:val="24"/>
        </w:rPr>
        <w:t> </w:t>
      </w:r>
      <w:r>
        <w:rPr>
          <w:sz w:val="24"/>
        </w:rPr>
        <w:t>claire</w:t>
      </w:r>
      <w:r>
        <w:rPr>
          <w:spacing w:val="-3"/>
          <w:sz w:val="24"/>
        </w:rPr>
        <w:t> </w:t>
      </w:r>
      <w:r>
        <w:rPr>
          <w:sz w:val="24"/>
        </w:rPr>
        <w:t>du nombre «5».</w:t>
      </w:r>
    </w:p>
    <w:p>
      <w:pPr>
        <w:pStyle w:val="ListParagraph"/>
        <w:numPr>
          <w:ilvl w:val="0"/>
          <w:numId w:val="4"/>
        </w:numPr>
        <w:tabs>
          <w:tab w:pos="1017" w:val="left" w:leader="none"/>
        </w:tabs>
        <w:spacing w:line="240" w:lineRule="auto" w:before="242" w:after="0"/>
        <w:ind w:left="1017" w:right="159" w:hanging="428"/>
        <w:jc w:val="left"/>
        <w:rPr>
          <w:sz w:val="24"/>
        </w:rPr>
      </w:pPr>
      <w:r>
        <w:rPr>
          <w:sz w:val="24"/>
        </w:rPr>
        <w:t>Indépendamment de la signification attachée à cet élément supplémentaire, le public pertinent</w:t>
      </w:r>
      <w:r>
        <w:rPr>
          <w:spacing w:val="17"/>
          <w:sz w:val="24"/>
        </w:rPr>
        <w:t> </w:t>
      </w:r>
      <w:r>
        <w:rPr>
          <w:sz w:val="24"/>
        </w:rPr>
        <w:t>perçoit</w:t>
      </w:r>
      <w:r>
        <w:rPr>
          <w:spacing w:val="18"/>
          <w:sz w:val="24"/>
        </w:rPr>
        <w:t> </w:t>
      </w:r>
      <w:r>
        <w:rPr>
          <w:sz w:val="24"/>
        </w:rPr>
        <w:t>le</w:t>
      </w:r>
      <w:r>
        <w:rPr>
          <w:spacing w:val="16"/>
          <w:sz w:val="24"/>
        </w:rPr>
        <w:t> </w:t>
      </w:r>
      <w:r>
        <w:rPr>
          <w:sz w:val="24"/>
        </w:rPr>
        <w:t>signe</w:t>
      </w:r>
      <w:r>
        <w:rPr>
          <w:spacing w:val="18"/>
          <w:sz w:val="24"/>
        </w:rPr>
        <w:t> </w:t>
      </w:r>
      <w:r>
        <w:rPr>
          <w:sz w:val="24"/>
        </w:rPr>
        <w:t>comme</w:t>
      </w:r>
      <w:r>
        <w:rPr>
          <w:spacing w:val="16"/>
          <w:sz w:val="24"/>
        </w:rPr>
        <w:t> </w:t>
      </w:r>
      <w:r>
        <w:rPr>
          <w:sz w:val="24"/>
        </w:rPr>
        <w:t>une</w:t>
      </w:r>
      <w:r>
        <w:rPr>
          <w:spacing w:val="16"/>
          <w:sz w:val="24"/>
        </w:rPr>
        <w:t> </w:t>
      </w:r>
      <w:r>
        <w:rPr>
          <w:sz w:val="24"/>
        </w:rPr>
        <w:t>représentation</w:t>
      </w:r>
      <w:r>
        <w:rPr>
          <w:spacing w:val="17"/>
          <w:sz w:val="24"/>
        </w:rPr>
        <w:t> </w:t>
      </w:r>
      <w:r>
        <w:rPr>
          <w:sz w:val="24"/>
        </w:rPr>
        <w:t>stylisée</w:t>
      </w:r>
      <w:r>
        <w:rPr>
          <w:spacing w:val="16"/>
          <w:sz w:val="24"/>
        </w:rPr>
        <w:t> </w:t>
      </w:r>
      <w:r>
        <w:rPr>
          <w:sz w:val="24"/>
        </w:rPr>
        <w:t>mais</w:t>
      </w:r>
      <w:r>
        <w:rPr>
          <w:spacing w:val="17"/>
          <w:sz w:val="24"/>
        </w:rPr>
        <w:t> </w:t>
      </w:r>
      <w:r>
        <w:rPr>
          <w:sz w:val="24"/>
        </w:rPr>
        <w:t>claire</w:t>
      </w:r>
      <w:r>
        <w:rPr>
          <w:spacing w:val="16"/>
          <w:sz w:val="24"/>
        </w:rPr>
        <w:t> </w:t>
      </w:r>
      <w:r>
        <w:rPr>
          <w:sz w:val="24"/>
        </w:rPr>
        <w:t>du</w:t>
      </w:r>
      <w:r>
        <w:rPr>
          <w:spacing w:val="17"/>
          <w:sz w:val="24"/>
        </w:rPr>
        <w:t> </w:t>
      </w:r>
      <w:r>
        <w:rPr>
          <w:sz w:val="24"/>
        </w:rPr>
        <w:t>nombre</w:t>
      </w:r>
    </w:p>
    <w:p>
      <w:pPr>
        <w:pStyle w:val="BodyText"/>
        <w:spacing w:line="275" w:lineRule="exact"/>
        <w:ind w:left="1017"/>
      </w:pPr>
      <w:r>
        <w:rPr>
          <w:spacing w:val="-4"/>
        </w:rPr>
        <w:t>«5».</w:t>
      </w:r>
    </w:p>
    <w:p>
      <w:pPr>
        <w:pStyle w:val="ListParagraph"/>
        <w:numPr>
          <w:ilvl w:val="0"/>
          <w:numId w:val="4"/>
        </w:numPr>
        <w:tabs>
          <w:tab w:pos="1016" w:val="left" w:leader="none"/>
        </w:tabs>
        <w:spacing w:line="294" w:lineRule="exact" w:before="239" w:after="0"/>
        <w:ind w:left="1016" w:right="0" w:hanging="426"/>
        <w:jc w:val="both"/>
        <w:rPr>
          <w:sz w:val="24"/>
        </w:rPr>
      </w:pPr>
      <w:r>
        <w:rPr>
          <w:sz w:val="24"/>
        </w:rPr>
        <w:t>L’importance</w:t>
      </w:r>
      <w:r>
        <w:rPr>
          <w:spacing w:val="-15"/>
          <w:sz w:val="24"/>
        </w:rPr>
        <w:t> </w:t>
      </w:r>
      <w:r>
        <w:rPr>
          <w:sz w:val="24"/>
        </w:rPr>
        <w:t>visuelle</w:t>
      </w:r>
      <w:r>
        <w:rPr>
          <w:spacing w:val="-12"/>
          <w:sz w:val="24"/>
        </w:rPr>
        <w:t> </w:t>
      </w:r>
      <w:r>
        <w:rPr>
          <w:sz w:val="24"/>
        </w:rPr>
        <w:t>de</w:t>
      </w:r>
      <w:r>
        <w:rPr>
          <w:spacing w:val="-10"/>
          <w:sz w:val="24"/>
        </w:rPr>
        <w:t> </w:t>
      </w:r>
      <w:r>
        <w:rPr>
          <w:sz w:val="24"/>
        </w:rPr>
        <w:t>l’élément</w:t>
      </w:r>
      <w:r>
        <w:rPr>
          <w:spacing w:val="-11"/>
          <w:sz w:val="24"/>
        </w:rPr>
        <w:t> </w:t>
      </w:r>
      <w:r>
        <w:rPr>
          <w:sz w:val="24"/>
        </w:rPr>
        <w:t>de</w:t>
      </w:r>
      <w:r>
        <w:rPr>
          <w:spacing w:val="-12"/>
          <w:sz w:val="24"/>
        </w:rPr>
        <w:t> </w:t>
      </w:r>
      <w:r>
        <w:rPr>
          <w:sz w:val="24"/>
        </w:rPr>
        <w:t>la</w:t>
      </w:r>
      <w:r>
        <w:rPr>
          <w:spacing w:val="-12"/>
          <w:sz w:val="24"/>
        </w:rPr>
        <w:t> </w:t>
      </w:r>
      <w:r>
        <w:rPr>
          <w:sz w:val="24"/>
        </w:rPr>
        <w:t>marque</w:t>
      </w:r>
      <w:r>
        <w:rPr>
          <w:spacing w:val="-12"/>
          <w:sz w:val="24"/>
        </w:rPr>
        <w:t> </w:t>
      </w:r>
      <w:r>
        <w:rPr>
          <w:sz w:val="24"/>
        </w:rPr>
        <w:t>antérieure</w:t>
      </w:r>
      <w:r>
        <w:rPr>
          <w:spacing w:val="-10"/>
          <w:sz w:val="24"/>
        </w:rPr>
        <w:t> </w:t>
      </w:r>
      <w:r>
        <w:rPr>
          <w:sz w:val="24"/>
        </w:rPr>
        <w:t>consistant</w:t>
      </w:r>
      <w:r>
        <w:rPr>
          <w:spacing w:val="-11"/>
          <w:sz w:val="24"/>
        </w:rPr>
        <w:t> </w:t>
      </w:r>
      <w:r>
        <w:rPr>
          <w:sz w:val="24"/>
        </w:rPr>
        <w:t>en</w:t>
      </w:r>
      <w:r>
        <w:rPr>
          <w:spacing w:val="-11"/>
          <w:sz w:val="24"/>
        </w:rPr>
        <w:t> </w:t>
      </w:r>
      <w:r>
        <w:rPr>
          <w:spacing w:val="-2"/>
          <w:sz w:val="24"/>
        </w:rPr>
        <w:t>l’abréviation</w:t>
      </w:r>
    </w:p>
    <w:p>
      <w:pPr>
        <w:pStyle w:val="BodyText"/>
        <w:ind w:left="1017" w:right="159"/>
        <w:jc w:val="both"/>
      </w:pPr>
      <w:r>
        <w:rPr/>
        <w:t>«No»,</w:t>
      </w:r>
      <w:r>
        <w:rPr>
          <w:spacing w:val="-4"/>
        </w:rPr>
        <w:t> </w:t>
      </w:r>
      <w:r>
        <w:rPr/>
        <w:t>pour</w:t>
      </w:r>
      <w:r>
        <w:rPr>
          <w:spacing w:val="-7"/>
        </w:rPr>
        <w:t> </w:t>
      </w:r>
      <w:r>
        <w:rPr/>
        <w:t>le</w:t>
      </w:r>
      <w:r>
        <w:rPr>
          <w:spacing w:val="-6"/>
        </w:rPr>
        <w:t> </w:t>
      </w:r>
      <w:r>
        <w:rPr/>
        <w:t>mot</w:t>
      </w:r>
      <w:r>
        <w:rPr>
          <w:spacing w:val="-1"/>
        </w:rPr>
        <w:t> </w:t>
      </w:r>
      <w:r>
        <w:rPr/>
        <w:t>«number»,</w:t>
      </w:r>
      <w:r>
        <w:rPr>
          <w:spacing w:val="-4"/>
        </w:rPr>
        <w:t> </w:t>
      </w:r>
      <w:r>
        <w:rPr/>
        <w:t>ne</w:t>
      </w:r>
      <w:r>
        <w:rPr>
          <w:spacing w:val="-7"/>
        </w:rPr>
        <w:t> </w:t>
      </w:r>
      <w:r>
        <w:rPr/>
        <w:t>doit</w:t>
      </w:r>
      <w:r>
        <w:rPr>
          <w:spacing w:val="-5"/>
        </w:rPr>
        <w:t> </w:t>
      </w:r>
      <w:r>
        <w:rPr/>
        <w:t>pas</w:t>
      </w:r>
      <w:r>
        <w:rPr>
          <w:spacing w:val="-6"/>
        </w:rPr>
        <w:t> </w:t>
      </w:r>
      <w:r>
        <w:rPr/>
        <w:t>être</w:t>
      </w:r>
      <w:r>
        <w:rPr>
          <w:spacing w:val="-7"/>
        </w:rPr>
        <w:t> </w:t>
      </w:r>
      <w:r>
        <w:rPr/>
        <w:t>exagérée.</w:t>
      </w:r>
      <w:r>
        <w:rPr>
          <w:spacing w:val="-3"/>
        </w:rPr>
        <w:t> </w:t>
      </w:r>
      <w:r>
        <w:rPr/>
        <w:t>En</w:t>
      </w:r>
      <w:r>
        <w:rPr>
          <w:spacing w:val="-6"/>
        </w:rPr>
        <w:t> </w:t>
      </w:r>
      <w:r>
        <w:rPr/>
        <w:t>effet,</w:t>
      </w:r>
      <w:r>
        <w:rPr>
          <w:spacing w:val="-5"/>
        </w:rPr>
        <w:t> </w:t>
      </w:r>
      <w:r>
        <w:rPr/>
        <w:t>cette</w:t>
      </w:r>
      <w:r>
        <w:rPr>
          <w:spacing w:val="-4"/>
        </w:rPr>
        <w:t> </w:t>
      </w:r>
      <w:r>
        <w:rPr/>
        <w:t>abréviation</w:t>
      </w:r>
      <w:r>
        <w:rPr>
          <w:spacing w:val="-5"/>
        </w:rPr>
        <w:t> </w:t>
      </w:r>
      <w:r>
        <w:rPr/>
        <w:t>est nécessairement</w:t>
      </w:r>
      <w:r>
        <w:rPr>
          <w:spacing w:val="-15"/>
        </w:rPr>
        <w:t> </w:t>
      </w:r>
      <w:r>
        <w:rPr/>
        <w:t>suivie</w:t>
      </w:r>
      <w:r>
        <w:rPr>
          <w:spacing w:val="-15"/>
        </w:rPr>
        <w:t> </w:t>
      </w:r>
      <w:r>
        <w:rPr/>
        <w:t>d’un</w:t>
      </w:r>
      <w:r>
        <w:rPr>
          <w:spacing w:val="-15"/>
        </w:rPr>
        <w:t> </w:t>
      </w:r>
      <w:r>
        <w:rPr/>
        <w:t>chiffre</w:t>
      </w:r>
      <w:r>
        <w:rPr>
          <w:spacing w:val="-15"/>
        </w:rPr>
        <w:t> </w:t>
      </w:r>
      <w:r>
        <w:rPr/>
        <w:t>ou</w:t>
      </w:r>
      <w:r>
        <w:rPr>
          <w:spacing w:val="-15"/>
        </w:rPr>
        <w:t> </w:t>
      </w:r>
      <w:r>
        <w:rPr/>
        <w:t>d’un</w:t>
      </w:r>
      <w:r>
        <w:rPr>
          <w:spacing w:val="-15"/>
        </w:rPr>
        <w:t> </w:t>
      </w:r>
      <w:r>
        <w:rPr/>
        <w:t>chiffre,</w:t>
      </w:r>
      <w:r>
        <w:rPr>
          <w:spacing w:val="-15"/>
        </w:rPr>
        <w:t> </w:t>
      </w:r>
      <w:r>
        <w:rPr/>
        <w:t>qui</w:t>
      </w:r>
      <w:r>
        <w:rPr>
          <w:spacing w:val="-15"/>
        </w:rPr>
        <w:t> </w:t>
      </w:r>
      <w:r>
        <w:rPr/>
        <w:t>est</w:t>
      </w:r>
      <w:r>
        <w:rPr>
          <w:spacing w:val="-15"/>
        </w:rPr>
        <w:t> </w:t>
      </w:r>
      <w:r>
        <w:rPr/>
        <w:t>l’élément</w:t>
      </w:r>
      <w:r>
        <w:rPr>
          <w:spacing w:val="-15"/>
        </w:rPr>
        <w:t> </w:t>
      </w:r>
      <w:r>
        <w:rPr/>
        <w:t>essentiel</w:t>
      </w:r>
      <w:r>
        <w:rPr>
          <w:spacing w:val="-15"/>
        </w:rPr>
        <w:t> </w:t>
      </w:r>
      <w:r>
        <w:rPr/>
        <w:t>puisqu’il s’agit du chiffre ou du chiffre qui désigne ou caractérise une chose.</w:t>
      </w:r>
    </w:p>
    <w:p>
      <w:pPr>
        <w:pStyle w:val="BodyText"/>
        <w:rPr>
          <w:sz w:val="18"/>
        </w:rPr>
      </w:pPr>
    </w:p>
    <w:p>
      <w:pPr>
        <w:pStyle w:val="BodyText"/>
        <w:rPr>
          <w:sz w:val="18"/>
        </w:rPr>
      </w:pPr>
    </w:p>
    <w:p>
      <w:pPr>
        <w:pStyle w:val="BodyText"/>
        <w:spacing w:before="148"/>
        <w:rPr>
          <w:sz w:val="18"/>
        </w:rPr>
      </w:pPr>
    </w:p>
    <w:p>
      <w:pPr>
        <w:spacing w:before="0"/>
        <w:ind w:left="2737" w:right="2738" w:firstLine="0"/>
        <w:jc w:val="center"/>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p>
      <w:pPr>
        <w:spacing w:after="0"/>
        <w:jc w:val="center"/>
        <w:rPr>
          <w:sz w:val="18"/>
        </w:rPr>
        <w:sectPr>
          <w:pgSz w:w="11910" w:h="16840"/>
          <w:pgMar w:header="970" w:footer="0" w:top="1180" w:bottom="280" w:left="1275" w:right="1275"/>
        </w:sectPr>
      </w:pPr>
    </w:p>
    <w:p>
      <w:pPr>
        <w:pStyle w:val="ListParagraph"/>
        <w:numPr>
          <w:ilvl w:val="0"/>
          <w:numId w:val="4"/>
        </w:numPr>
        <w:tabs>
          <w:tab w:pos="1016" w:val="left" w:leader="none"/>
        </w:tabs>
        <w:spacing w:line="294" w:lineRule="exact" w:before="249" w:after="0"/>
        <w:ind w:left="1016" w:right="0" w:hanging="426"/>
        <w:jc w:val="both"/>
        <w:rPr>
          <w:sz w:val="24"/>
        </w:rPr>
      </w:pPr>
      <w:r>
        <w:rPr>
          <w:sz w:val="24"/>
        </w:rPr>
        <mc:AlternateContent>
          <mc:Choice Requires="wps">
            <w:drawing>
              <wp:anchor distT="0" distB="0" distL="0" distR="0" allowOverlap="1" layoutInCell="1" locked="0" behindDoc="0" simplePos="0" relativeHeight="15736832">
                <wp:simplePos x="0" y="0"/>
                <wp:positionH relativeFrom="page">
                  <wp:posOffset>270575</wp:posOffset>
                </wp:positionH>
                <wp:positionV relativeFrom="page">
                  <wp:posOffset>1114363</wp:posOffset>
                </wp:positionV>
                <wp:extent cx="146050" cy="921004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146050" cy="9210040"/>
                        </a:xfrm>
                        <a:prstGeom prst="rect">
                          <a:avLst/>
                        </a:prstGeom>
                      </wps:spPr>
                      <wps:txbx>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wps:txbx>
                      <wps:bodyPr wrap="square" lIns="0" tIns="0" rIns="0" bIns="0" rtlCol="0" vert="vert270">
                        <a:noAutofit/>
                      </wps:bodyPr>
                    </wps:wsp>
                  </a:graphicData>
                </a:graphic>
              </wp:anchor>
            </w:drawing>
          </mc:Choice>
          <mc:Fallback>
            <w:pict>
              <v:shape style="position:absolute;margin-left:21.305176pt;margin-top:87.745193pt;width:11.5pt;height:725.2pt;mso-position-horizontal-relative:page;mso-position-vertical-relative:page;z-index:15736832" type="#_x0000_t202" id="docshape16" filled="false" stroked="false">
                <v:textbox inset="0,0,0,0" style="layout-flow:vertical;mso-layout-flow-alt:bottom-to-top">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v:textbox>
                <w10:wrap type="none"/>
              </v:shape>
            </w:pict>
          </mc:Fallback>
        </mc:AlternateContent>
      </w:r>
      <w:r>
        <w:rPr>
          <w:sz w:val="24"/>
        </w:rPr>
        <w:t>Le</w:t>
      </w:r>
      <w:r>
        <w:rPr>
          <w:spacing w:val="13"/>
          <w:sz w:val="24"/>
        </w:rPr>
        <w:t> </w:t>
      </w:r>
      <w:r>
        <w:rPr>
          <w:sz w:val="24"/>
        </w:rPr>
        <w:t>dictionnaire</w:t>
      </w:r>
      <w:r>
        <w:rPr>
          <w:spacing w:val="15"/>
          <w:sz w:val="24"/>
        </w:rPr>
        <w:t> </w:t>
      </w:r>
      <w:r>
        <w:rPr>
          <w:sz w:val="24"/>
        </w:rPr>
        <w:t>français</w:t>
      </w:r>
      <w:r>
        <w:rPr>
          <w:spacing w:val="17"/>
          <w:sz w:val="24"/>
        </w:rPr>
        <w:t> </w:t>
      </w:r>
      <w:r>
        <w:rPr>
          <w:sz w:val="24"/>
        </w:rPr>
        <w:t>Larousse</w:t>
      </w:r>
      <w:r>
        <w:rPr>
          <w:spacing w:val="12"/>
          <w:sz w:val="24"/>
        </w:rPr>
        <w:t> </w:t>
      </w:r>
      <w:r>
        <w:rPr>
          <w:sz w:val="24"/>
        </w:rPr>
        <w:t>définit</w:t>
      </w:r>
      <w:r>
        <w:rPr>
          <w:spacing w:val="14"/>
          <w:sz w:val="24"/>
        </w:rPr>
        <w:t> </w:t>
      </w:r>
      <w:r>
        <w:rPr>
          <w:sz w:val="24"/>
        </w:rPr>
        <w:t>le</w:t>
      </w:r>
      <w:r>
        <w:rPr>
          <w:spacing w:val="13"/>
          <w:sz w:val="24"/>
        </w:rPr>
        <w:t> </w:t>
      </w:r>
      <w:r>
        <w:rPr>
          <w:sz w:val="24"/>
        </w:rPr>
        <w:t>mot</w:t>
      </w:r>
      <w:r>
        <w:rPr>
          <w:spacing w:val="17"/>
          <w:sz w:val="24"/>
        </w:rPr>
        <w:t> </w:t>
      </w:r>
      <w:r>
        <w:rPr>
          <w:sz w:val="24"/>
        </w:rPr>
        <w:t>«numéro»</w:t>
      </w:r>
      <w:r>
        <w:rPr>
          <w:spacing w:val="9"/>
          <w:sz w:val="24"/>
        </w:rPr>
        <w:t> </w:t>
      </w:r>
      <w:r>
        <w:rPr>
          <w:sz w:val="24"/>
        </w:rPr>
        <w:t>(«numéro</w:t>
      </w:r>
      <w:r>
        <w:rPr>
          <w:i/>
          <w:sz w:val="24"/>
        </w:rPr>
        <w:t>»</w:t>
      </w:r>
      <w:r>
        <w:rPr>
          <w:sz w:val="24"/>
        </w:rPr>
        <w:t>)</w:t>
      </w:r>
      <w:r>
        <w:rPr>
          <w:spacing w:val="15"/>
          <w:sz w:val="24"/>
        </w:rPr>
        <w:t> </w:t>
      </w:r>
      <w:r>
        <w:rPr>
          <w:sz w:val="24"/>
        </w:rPr>
        <w:t>comme</w:t>
      </w:r>
      <w:r>
        <w:rPr>
          <w:spacing w:val="13"/>
          <w:sz w:val="24"/>
        </w:rPr>
        <w:t> </w:t>
      </w:r>
      <w:r>
        <w:rPr>
          <w:spacing w:val="-2"/>
          <w:sz w:val="24"/>
        </w:rPr>
        <w:t>suit:</w:t>
      </w:r>
    </w:p>
    <w:p>
      <w:pPr>
        <w:spacing w:before="0"/>
        <w:ind w:left="1017" w:right="156" w:firstLine="0"/>
        <w:jc w:val="both"/>
        <w:rPr>
          <w:sz w:val="24"/>
        </w:rPr>
      </w:pPr>
      <w:r>
        <w:rPr>
          <w:sz w:val="24"/>
        </w:rPr>
        <w:t>«</w:t>
      </w:r>
      <w:r>
        <w:rPr>
          <w:i/>
          <w:sz w:val="24"/>
        </w:rPr>
        <w:t>Suivi d’un Chiffre, d’un nombre, après un nom, désigne une entité par le nombre q’on leur attribue (s ' abrège en nº): Chambre numéro 2</w:t>
      </w:r>
      <w:r>
        <w:rPr>
          <w:sz w:val="24"/>
        </w:rPr>
        <w:t>» (</w:t>
      </w:r>
      <w:hyperlink r:id="rId11">
        <w:r>
          <w:rPr>
            <w:sz w:val="24"/>
          </w:rPr>
          <w:t>www.larousse.fr/dictionnaires</w:t>
        </w:r>
      </w:hyperlink>
      <w:r>
        <w:rPr>
          <w:sz w:val="24"/>
        </w:rPr>
        <w:t>) («Suite d’un chiffre, après un nom, désigne une chose, une entité par le numéro qui lui a été attribué (abrégé au no): Room numéro </w:t>
      </w:r>
      <w:r>
        <w:rPr>
          <w:spacing w:val="-4"/>
          <w:sz w:val="24"/>
        </w:rPr>
        <w:t>2»).</w:t>
      </w:r>
    </w:p>
    <w:p>
      <w:pPr>
        <w:pStyle w:val="ListParagraph"/>
        <w:numPr>
          <w:ilvl w:val="0"/>
          <w:numId w:val="4"/>
        </w:numPr>
        <w:tabs>
          <w:tab w:pos="1015" w:val="left" w:leader="none"/>
          <w:tab w:pos="1017" w:val="left" w:leader="none"/>
        </w:tabs>
        <w:spacing w:line="240" w:lineRule="auto" w:before="239" w:after="0"/>
        <w:ind w:left="1017" w:right="160" w:hanging="428"/>
        <w:jc w:val="both"/>
        <w:rPr>
          <w:sz w:val="24"/>
        </w:rPr>
      </w:pPr>
      <w:r>
        <w:rPr>
          <w:sz w:val="24"/>
        </w:rPr>
        <w:t>Ainsi,</w:t>
      </w:r>
      <w:r>
        <w:rPr>
          <w:spacing w:val="-15"/>
          <w:sz w:val="24"/>
        </w:rPr>
        <w:t> </w:t>
      </w:r>
      <w:r>
        <w:rPr>
          <w:sz w:val="24"/>
        </w:rPr>
        <w:t>dans</w:t>
      </w:r>
      <w:r>
        <w:rPr>
          <w:spacing w:val="-13"/>
          <w:sz w:val="24"/>
        </w:rPr>
        <w:t> </w:t>
      </w:r>
      <w:r>
        <w:rPr>
          <w:sz w:val="24"/>
        </w:rPr>
        <w:t>le</w:t>
      </w:r>
      <w:r>
        <w:rPr>
          <w:spacing w:val="-14"/>
          <w:sz w:val="24"/>
        </w:rPr>
        <w:t> </w:t>
      </w:r>
      <w:r>
        <w:rPr>
          <w:sz w:val="24"/>
        </w:rPr>
        <w:t>signe</w:t>
      </w:r>
      <w:r>
        <w:rPr>
          <w:spacing w:val="-9"/>
          <w:sz w:val="24"/>
        </w:rPr>
        <w:t> </w:t>
      </w:r>
      <w:r>
        <w:rPr>
          <w:sz w:val="24"/>
        </w:rPr>
        <w:t>«No</w:t>
      </w:r>
      <w:r>
        <w:rPr>
          <w:spacing w:val="-11"/>
          <w:sz w:val="24"/>
        </w:rPr>
        <w:t> </w:t>
      </w:r>
      <w:r>
        <w:rPr>
          <w:sz w:val="24"/>
        </w:rPr>
        <w:t>5»,</w:t>
      </w:r>
      <w:r>
        <w:rPr>
          <w:spacing w:val="-13"/>
          <w:sz w:val="24"/>
        </w:rPr>
        <w:t> </w:t>
      </w:r>
      <w:r>
        <w:rPr>
          <w:sz w:val="24"/>
        </w:rPr>
        <w:t>l’élément</w:t>
      </w:r>
      <w:r>
        <w:rPr>
          <w:spacing w:val="-9"/>
          <w:sz w:val="24"/>
        </w:rPr>
        <w:t> </w:t>
      </w:r>
      <w:r>
        <w:rPr>
          <w:sz w:val="24"/>
        </w:rPr>
        <w:t>«No»</w:t>
      </w:r>
      <w:r>
        <w:rPr>
          <w:spacing w:val="-15"/>
          <w:sz w:val="24"/>
        </w:rPr>
        <w:t> </w:t>
      </w:r>
      <w:r>
        <w:rPr>
          <w:sz w:val="24"/>
        </w:rPr>
        <w:t>fait</w:t>
      </w:r>
      <w:r>
        <w:rPr>
          <w:spacing w:val="-12"/>
          <w:sz w:val="24"/>
        </w:rPr>
        <w:t> </w:t>
      </w:r>
      <w:r>
        <w:rPr>
          <w:sz w:val="24"/>
        </w:rPr>
        <w:t>directement</w:t>
      </w:r>
      <w:r>
        <w:rPr>
          <w:spacing w:val="-10"/>
          <w:sz w:val="24"/>
        </w:rPr>
        <w:t> </w:t>
      </w:r>
      <w:r>
        <w:rPr>
          <w:sz w:val="24"/>
        </w:rPr>
        <w:t>référence</w:t>
      </w:r>
      <w:r>
        <w:rPr>
          <w:spacing w:val="-12"/>
          <w:sz w:val="24"/>
        </w:rPr>
        <w:t> </w:t>
      </w:r>
      <w:r>
        <w:rPr>
          <w:sz w:val="24"/>
        </w:rPr>
        <w:t>au</w:t>
      </w:r>
      <w:r>
        <w:rPr>
          <w:spacing w:val="-13"/>
          <w:sz w:val="24"/>
        </w:rPr>
        <w:t> </w:t>
      </w:r>
      <w:r>
        <w:rPr>
          <w:sz w:val="24"/>
        </w:rPr>
        <w:t>nombre</w:t>
      </w:r>
      <w:r>
        <w:rPr>
          <w:spacing w:val="-9"/>
          <w:sz w:val="24"/>
        </w:rPr>
        <w:t> </w:t>
      </w:r>
      <w:r>
        <w:rPr>
          <w:sz w:val="24"/>
        </w:rPr>
        <w:t>«5» et souligne</w:t>
      </w:r>
      <w:r>
        <w:rPr>
          <w:spacing w:val="-1"/>
          <w:sz w:val="24"/>
        </w:rPr>
        <w:t> </w:t>
      </w:r>
      <w:r>
        <w:rPr>
          <w:sz w:val="24"/>
        </w:rPr>
        <w:t>son importance</w:t>
      </w:r>
      <w:r>
        <w:rPr>
          <w:spacing w:val="-1"/>
          <w:sz w:val="24"/>
        </w:rPr>
        <w:t> </w:t>
      </w:r>
      <w:r>
        <w:rPr>
          <w:sz w:val="24"/>
        </w:rPr>
        <w:t>en précisant le</w:t>
      </w:r>
      <w:r>
        <w:rPr>
          <w:spacing w:val="-1"/>
          <w:sz w:val="24"/>
        </w:rPr>
        <w:t> </w:t>
      </w:r>
      <w:r>
        <w:rPr>
          <w:sz w:val="24"/>
        </w:rPr>
        <w:t>numéro attribué. Par</w:t>
      </w:r>
      <w:r>
        <w:rPr>
          <w:spacing w:val="-1"/>
          <w:sz w:val="24"/>
        </w:rPr>
        <w:t> </w:t>
      </w:r>
      <w:r>
        <w:rPr>
          <w:sz w:val="24"/>
        </w:rPr>
        <w:t>conséquent, sans être dominant,</w:t>
      </w:r>
      <w:r>
        <w:rPr>
          <w:spacing w:val="17"/>
          <w:sz w:val="24"/>
        </w:rPr>
        <w:t> </w:t>
      </w:r>
      <w:r>
        <w:rPr>
          <w:sz w:val="24"/>
        </w:rPr>
        <w:t>compte</w:t>
      </w:r>
      <w:r>
        <w:rPr>
          <w:spacing w:val="16"/>
          <w:sz w:val="24"/>
        </w:rPr>
        <w:t> </w:t>
      </w:r>
      <w:r>
        <w:rPr>
          <w:sz w:val="24"/>
        </w:rPr>
        <w:t>tenu</w:t>
      </w:r>
      <w:r>
        <w:rPr>
          <w:spacing w:val="16"/>
          <w:sz w:val="24"/>
        </w:rPr>
        <w:t> </w:t>
      </w:r>
      <w:r>
        <w:rPr>
          <w:sz w:val="24"/>
        </w:rPr>
        <w:t>du</w:t>
      </w:r>
      <w:r>
        <w:rPr>
          <w:spacing w:val="17"/>
          <w:sz w:val="24"/>
        </w:rPr>
        <w:t> </w:t>
      </w:r>
      <w:r>
        <w:rPr>
          <w:sz w:val="24"/>
        </w:rPr>
        <w:t>caractère non</w:t>
      </w:r>
      <w:r>
        <w:rPr>
          <w:spacing w:val="17"/>
          <w:sz w:val="24"/>
        </w:rPr>
        <w:t> </w:t>
      </w:r>
      <w:r>
        <w:rPr>
          <w:sz w:val="24"/>
        </w:rPr>
        <w:t>négligeable</w:t>
      </w:r>
      <w:r>
        <w:rPr>
          <w:spacing w:val="16"/>
          <w:sz w:val="24"/>
        </w:rPr>
        <w:t> </w:t>
      </w:r>
      <w:r>
        <w:rPr>
          <w:sz w:val="24"/>
        </w:rPr>
        <w:t>de</w:t>
      </w:r>
      <w:r>
        <w:rPr>
          <w:spacing w:val="16"/>
          <w:sz w:val="24"/>
        </w:rPr>
        <w:t> </w:t>
      </w:r>
      <w:r>
        <w:rPr>
          <w:sz w:val="24"/>
        </w:rPr>
        <w:t>l’élément</w:t>
      </w:r>
      <w:r>
        <w:rPr>
          <w:spacing w:val="22"/>
          <w:sz w:val="24"/>
        </w:rPr>
        <w:t> </w:t>
      </w:r>
      <w:r>
        <w:rPr>
          <w:sz w:val="24"/>
        </w:rPr>
        <w:t>«No»,</w:t>
      </w:r>
      <w:r>
        <w:rPr>
          <w:spacing w:val="19"/>
          <w:sz w:val="24"/>
        </w:rPr>
        <w:t> </w:t>
      </w:r>
      <w:r>
        <w:rPr>
          <w:sz w:val="24"/>
        </w:rPr>
        <w:t>le</w:t>
      </w:r>
      <w:r>
        <w:rPr>
          <w:spacing w:val="16"/>
          <w:sz w:val="24"/>
        </w:rPr>
        <w:t> </w:t>
      </w:r>
      <w:r>
        <w:rPr>
          <w:sz w:val="24"/>
        </w:rPr>
        <w:t>nombre</w:t>
      </w:r>
    </w:p>
    <w:p>
      <w:pPr>
        <w:pStyle w:val="BodyText"/>
        <w:ind w:left="1017" w:right="160"/>
        <w:jc w:val="both"/>
      </w:pPr>
      <w:r>
        <w:rPr/>
        <w:t>«5»</w:t>
      </w:r>
      <w:r>
        <w:rPr>
          <w:spacing w:val="-15"/>
        </w:rPr>
        <w:t> </w:t>
      </w:r>
      <w:r>
        <w:rPr/>
        <w:t>est,</w:t>
      </w:r>
      <w:r>
        <w:rPr>
          <w:spacing w:val="-10"/>
        </w:rPr>
        <w:t> </w:t>
      </w:r>
      <w:r>
        <w:rPr/>
        <w:t>au</w:t>
      </w:r>
      <w:r>
        <w:rPr>
          <w:spacing w:val="-11"/>
        </w:rPr>
        <w:t> </w:t>
      </w:r>
      <w:r>
        <w:rPr/>
        <w:t>sein</w:t>
      </w:r>
      <w:r>
        <w:rPr>
          <w:spacing w:val="-10"/>
        </w:rPr>
        <w:t> </w:t>
      </w:r>
      <w:r>
        <w:rPr/>
        <w:t>de</w:t>
      </w:r>
      <w:r>
        <w:rPr>
          <w:spacing w:val="-12"/>
        </w:rPr>
        <w:t> </w:t>
      </w:r>
      <w:r>
        <w:rPr/>
        <w:t>la</w:t>
      </w:r>
      <w:r>
        <w:rPr>
          <w:spacing w:val="-11"/>
        </w:rPr>
        <w:t> </w:t>
      </w:r>
      <w:r>
        <w:rPr/>
        <w:t>marque</w:t>
      </w:r>
      <w:r>
        <w:rPr>
          <w:spacing w:val="-12"/>
        </w:rPr>
        <w:t> </w:t>
      </w:r>
      <w:r>
        <w:rPr/>
        <w:t>antérieure,</w:t>
      </w:r>
      <w:r>
        <w:rPr>
          <w:spacing w:val="-11"/>
        </w:rPr>
        <w:t> </w:t>
      </w:r>
      <w:r>
        <w:rPr/>
        <w:t>l’élément</w:t>
      </w:r>
      <w:r>
        <w:rPr>
          <w:spacing w:val="-8"/>
        </w:rPr>
        <w:t> </w:t>
      </w:r>
      <w:r>
        <w:rPr/>
        <w:t>qui</w:t>
      </w:r>
      <w:r>
        <w:rPr>
          <w:spacing w:val="-10"/>
        </w:rPr>
        <w:t> </w:t>
      </w:r>
      <w:r>
        <w:rPr/>
        <w:t>attire</w:t>
      </w:r>
      <w:r>
        <w:rPr>
          <w:spacing w:val="-12"/>
        </w:rPr>
        <w:t> </w:t>
      </w:r>
      <w:r>
        <w:rPr/>
        <w:t>le</w:t>
      </w:r>
      <w:r>
        <w:rPr>
          <w:spacing w:val="-11"/>
        </w:rPr>
        <w:t> </w:t>
      </w:r>
      <w:r>
        <w:rPr/>
        <w:t>plus</w:t>
      </w:r>
      <w:r>
        <w:rPr>
          <w:spacing w:val="-12"/>
        </w:rPr>
        <w:t> </w:t>
      </w:r>
      <w:r>
        <w:rPr/>
        <w:t>l’attention</w:t>
      </w:r>
      <w:r>
        <w:rPr>
          <w:spacing w:val="-11"/>
        </w:rPr>
        <w:t> </w:t>
      </w:r>
      <w:r>
        <w:rPr/>
        <w:t>visuelle du public.</w:t>
      </w:r>
    </w:p>
    <w:p>
      <w:pPr>
        <w:pStyle w:val="ListParagraph"/>
        <w:numPr>
          <w:ilvl w:val="0"/>
          <w:numId w:val="4"/>
        </w:numPr>
        <w:tabs>
          <w:tab w:pos="1015" w:val="left" w:leader="none"/>
          <w:tab w:pos="1017" w:val="left" w:leader="none"/>
        </w:tabs>
        <w:spacing w:line="240" w:lineRule="auto" w:before="239" w:after="0"/>
        <w:ind w:left="1017" w:right="159" w:hanging="428"/>
        <w:jc w:val="both"/>
        <w:rPr>
          <w:sz w:val="24"/>
        </w:rPr>
      </w:pPr>
      <w:r>
        <w:rPr>
          <w:sz w:val="24"/>
        </w:rPr>
        <w:t>Pour reprendre l’exemple du dictionnaire Larousse en ligne mentionné ci-dessus, il est parfaitement équivalent en français à dire </w:t>
      </w:r>
      <w:r>
        <w:rPr>
          <w:i/>
          <w:sz w:val="24"/>
        </w:rPr>
        <w:t>«Chambre no 2» ou «Chambre 2» </w:t>
      </w:r>
      <w:r>
        <w:rPr>
          <w:sz w:val="24"/>
        </w:rPr>
        <w:t>(«Room</w:t>
      </w:r>
      <w:r>
        <w:rPr>
          <w:spacing w:val="13"/>
          <w:sz w:val="24"/>
        </w:rPr>
        <w:t> </w:t>
      </w:r>
      <w:r>
        <w:rPr>
          <w:sz w:val="24"/>
        </w:rPr>
        <w:t>no</w:t>
      </w:r>
      <w:r>
        <w:rPr>
          <w:spacing w:val="13"/>
          <w:sz w:val="24"/>
        </w:rPr>
        <w:t> </w:t>
      </w:r>
      <w:r>
        <w:rPr>
          <w:sz w:val="24"/>
        </w:rPr>
        <w:t>2» ou</w:t>
      </w:r>
      <w:r>
        <w:rPr>
          <w:spacing w:val="17"/>
          <w:sz w:val="24"/>
        </w:rPr>
        <w:t> </w:t>
      </w:r>
      <w:r>
        <w:rPr>
          <w:sz w:val="24"/>
        </w:rPr>
        <w:t>«Room</w:t>
      </w:r>
      <w:r>
        <w:rPr>
          <w:spacing w:val="13"/>
          <w:sz w:val="24"/>
        </w:rPr>
        <w:t> </w:t>
      </w:r>
      <w:r>
        <w:rPr>
          <w:sz w:val="24"/>
        </w:rPr>
        <w:t>2»);</w:t>
      </w:r>
      <w:r>
        <w:rPr>
          <w:spacing w:val="15"/>
          <w:sz w:val="24"/>
        </w:rPr>
        <w:t> </w:t>
      </w:r>
      <w:r>
        <w:rPr>
          <w:sz w:val="24"/>
        </w:rPr>
        <w:t>le</w:t>
      </w:r>
      <w:r>
        <w:rPr>
          <w:spacing w:val="12"/>
          <w:sz w:val="24"/>
        </w:rPr>
        <w:t> </w:t>
      </w:r>
      <w:r>
        <w:rPr>
          <w:sz w:val="24"/>
        </w:rPr>
        <w:t>point</w:t>
      </w:r>
      <w:r>
        <w:rPr>
          <w:spacing w:val="13"/>
          <w:sz w:val="24"/>
        </w:rPr>
        <w:t> </w:t>
      </w:r>
      <w:r>
        <w:rPr>
          <w:sz w:val="24"/>
        </w:rPr>
        <w:t>est</w:t>
      </w:r>
      <w:r>
        <w:rPr>
          <w:spacing w:val="13"/>
          <w:sz w:val="24"/>
        </w:rPr>
        <w:t> </w:t>
      </w:r>
      <w:r>
        <w:rPr>
          <w:sz w:val="24"/>
        </w:rPr>
        <w:t>de</w:t>
      </w:r>
      <w:r>
        <w:rPr>
          <w:spacing w:val="12"/>
          <w:sz w:val="24"/>
        </w:rPr>
        <w:t> </w:t>
      </w:r>
      <w:r>
        <w:rPr>
          <w:sz w:val="24"/>
        </w:rPr>
        <w:t>préciser</w:t>
      </w:r>
      <w:r>
        <w:rPr>
          <w:spacing w:val="12"/>
          <w:sz w:val="24"/>
        </w:rPr>
        <w:t> </w:t>
      </w:r>
      <w:r>
        <w:rPr>
          <w:sz w:val="24"/>
        </w:rPr>
        <w:t>le</w:t>
      </w:r>
      <w:r>
        <w:rPr>
          <w:spacing w:val="12"/>
          <w:sz w:val="24"/>
        </w:rPr>
        <w:t> </w:t>
      </w:r>
      <w:r>
        <w:rPr>
          <w:sz w:val="24"/>
        </w:rPr>
        <w:t>numéro</w:t>
      </w:r>
      <w:r>
        <w:rPr>
          <w:spacing w:val="15"/>
          <w:sz w:val="24"/>
        </w:rPr>
        <w:t> </w:t>
      </w:r>
      <w:r>
        <w:rPr>
          <w:sz w:val="24"/>
        </w:rPr>
        <w:t>de</w:t>
      </w:r>
      <w:r>
        <w:rPr>
          <w:spacing w:val="12"/>
          <w:sz w:val="24"/>
        </w:rPr>
        <w:t> </w:t>
      </w:r>
      <w:r>
        <w:rPr>
          <w:sz w:val="24"/>
        </w:rPr>
        <w:t>la</w:t>
      </w:r>
      <w:r>
        <w:rPr>
          <w:spacing w:val="12"/>
          <w:sz w:val="24"/>
        </w:rPr>
        <w:t> </w:t>
      </w:r>
      <w:r>
        <w:rPr>
          <w:sz w:val="24"/>
        </w:rPr>
        <w:t>salle,</w:t>
      </w:r>
      <w:r>
        <w:rPr>
          <w:spacing w:val="13"/>
          <w:sz w:val="24"/>
        </w:rPr>
        <w:t> </w:t>
      </w:r>
      <w:r>
        <w:rPr>
          <w:sz w:val="24"/>
        </w:rPr>
        <w:t>qui</w:t>
      </w:r>
      <w:r>
        <w:rPr>
          <w:spacing w:val="13"/>
          <w:sz w:val="24"/>
        </w:rPr>
        <w:t> </w:t>
      </w:r>
      <w:r>
        <w:rPr>
          <w:sz w:val="24"/>
        </w:rPr>
        <w:t>est</w:t>
      </w:r>
    </w:p>
    <w:p>
      <w:pPr>
        <w:pStyle w:val="BodyText"/>
        <w:ind w:left="1017"/>
      </w:pPr>
      <w:r>
        <w:rPr>
          <w:spacing w:val="-4"/>
        </w:rPr>
        <w:t>«2».</w:t>
      </w:r>
    </w:p>
    <w:p>
      <w:pPr>
        <w:pStyle w:val="ListParagraph"/>
        <w:numPr>
          <w:ilvl w:val="0"/>
          <w:numId w:val="4"/>
        </w:numPr>
        <w:tabs>
          <w:tab w:pos="1015" w:val="left" w:leader="none"/>
          <w:tab w:pos="1017" w:val="left" w:leader="none"/>
        </w:tabs>
        <w:spacing w:line="240" w:lineRule="auto" w:before="239" w:after="0"/>
        <w:ind w:left="1017" w:right="162" w:hanging="428"/>
        <w:jc w:val="both"/>
        <w:rPr>
          <w:sz w:val="24"/>
        </w:rPr>
      </w:pPr>
      <w:r>
        <w:rPr>
          <w:sz w:val="24"/>
        </w:rPr>
        <w:t>S’il était considéré que l’élément graphique, constituant la partie horizontale du «5» de la marque contestée, était susceptible d’être perçu comme la lettre «N», cela créerait visuellement, en raison de la similitude avec l’élément «No» de la marque antérieure, un facteur supplémentaire de similitude globale entre les marques.</w:t>
      </w:r>
    </w:p>
    <w:p>
      <w:pPr>
        <w:pStyle w:val="ListParagraph"/>
        <w:numPr>
          <w:ilvl w:val="0"/>
          <w:numId w:val="4"/>
        </w:numPr>
        <w:tabs>
          <w:tab w:pos="1015" w:val="left" w:leader="none"/>
          <w:tab w:pos="1017" w:val="left" w:leader="none"/>
        </w:tabs>
        <w:spacing w:line="240" w:lineRule="auto" w:before="241" w:after="0"/>
        <w:ind w:left="1017" w:right="158" w:hanging="428"/>
        <w:jc w:val="both"/>
        <w:rPr>
          <w:sz w:val="24"/>
        </w:rPr>
      </w:pPr>
      <w:r>
        <w:rPr>
          <w:sz w:val="24"/>
        </w:rPr>
        <w:t>Pour ces raisons, les signes doivent être considérés comme visuellement similaires à un degré moyen.</w:t>
      </w:r>
    </w:p>
    <w:p>
      <w:pPr>
        <w:pStyle w:val="ListParagraph"/>
        <w:numPr>
          <w:ilvl w:val="0"/>
          <w:numId w:val="4"/>
        </w:numPr>
        <w:tabs>
          <w:tab w:pos="1015" w:val="left" w:leader="none"/>
          <w:tab w:pos="1017" w:val="left" w:leader="none"/>
        </w:tabs>
        <w:spacing w:line="240" w:lineRule="auto" w:before="239" w:after="0"/>
        <w:ind w:left="1017" w:right="165" w:hanging="428"/>
        <w:jc w:val="both"/>
        <w:rPr>
          <w:sz w:val="24"/>
        </w:rPr>
      </w:pPr>
      <w:r>
        <w:rPr>
          <w:sz w:val="24"/>
        </w:rPr>
        <w:t>Le caractère distinctif et proéminent de l’élément commun et central «5» dans les signes</w:t>
      </w:r>
      <w:r>
        <w:rPr>
          <w:spacing w:val="-2"/>
          <w:sz w:val="24"/>
        </w:rPr>
        <w:t> </w:t>
      </w:r>
      <w:r>
        <w:rPr>
          <w:sz w:val="24"/>
        </w:rPr>
        <w:t>en</w:t>
      </w:r>
      <w:r>
        <w:rPr>
          <w:spacing w:val="-2"/>
          <w:sz w:val="24"/>
        </w:rPr>
        <w:t> </w:t>
      </w:r>
      <w:r>
        <w:rPr>
          <w:sz w:val="24"/>
        </w:rPr>
        <w:t>conflit</w:t>
      </w:r>
      <w:r>
        <w:rPr>
          <w:spacing w:val="-2"/>
          <w:sz w:val="24"/>
        </w:rPr>
        <w:t> </w:t>
      </w:r>
      <w:r>
        <w:rPr>
          <w:sz w:val="24"/>
        </w:rPr>
        <w:t>implique</w:t>
      </w:r>
      <w:r>
        <w:rPr>
          <w:spacing w:val="-3"/>
          <w:sz w:val="24"/>
        </w:rPr>
        <w:t> </w:t>
      </w:r>
      <w:r>
        <w:rPr>
          <w:sz w:val="24"/>
        </w:rPr>
        <w:t>que</w:t>
      </w:r>
      <w:r>
        <w:rPr>
          <w:spacing w:val="-3"/>
          <w:sz w:val="24"/>
        </w:rPr>
        <w:t> </w:t>
      </w:r>
      <w:r>
        <w:rPr>
          <w:sz w:val="24"/>
        </w:rPr>
        <w:t>l’impact</w:t>
      </w:r>
      <w:r>
        <w:rPr>
          <w:spacing w:val="-2"/>
          <w:sz w:val="24"/>
        </w:rPr>
        <w:t> </w:t>
      </w:r>
      <w:r>
        <w:rPr>
          <w:sz w:val="24"/>
        </w:rPr>
        <w:t>visuel</w:t>
      </w:r>
      <w:r>
        <w:rPr>
          <w:spacing w:val="-2"/>
          <w:sz w:val="24"/>
        </w:rPr>
        <w:t> </w:t>
      </w:r>
      <w:r>
        <w:rPr>
          <w:sz w:val="24"/>
        </w:rPr>
        <w:t>de</w:t>
      </w:r>
      <w:r>
        <w:rPr>
          <w:spacing w:val="-3"/>
          <w:sz w:val="24"/>
        </w:rPr>
        <w:t> </w:t>
      </w:r>
      <w:r>
        <w:rPr>
          <w:sz w:val="24"/>
        </w:rPr>
        <w:t>leurs</w:t>
      </w:r>
      <w:r>
        <w:rPr>
          <w:spacing w:val="-3"/>
          <w:sz w:val="24"/>
        </w:rPr>
        <w:t> </w:t>
      </w:r>
      <w:r>
        <w:rPr>
          <w:sz w:val="24"/>
        </w:rPr>
        <w:t>différences</w:t>
      </w:r>
      <w:r>
        <w:rPr>
          <w:spacing w:val="-2"/>
          <w:sz w:val="24"/>
        </w:rPr>
        <w:t> </w:t>
      </w:r>
      <w:r>
        <w:rPr>
          <w:sz w:val="24"/>
        </w:rPr>
        <w:t>doit</w:t>
      </w:r>
      <w:r>
        <w:rPr>
          <w:spacing w:val="-2"/>
          <w:sz w:val="24"/>
        </w:rPr>
        <w:t> </w:t>
      </w:r>
      <w:r>
        <w:rPr>
          <w:sz w:val="24"/>
        </w:rPr>
        <w:t>être</w:t>
      </w:r>
      <w:r>
        <w:rPr>
          <w:spacing w:val="-3"/>
          <w:sz w:val="24"/>
        </w:rPr>
        <w:t> </w:t>
      </w:r>
      <w:r>
        <w:rPr>
          <w:sz w:val="24"/>
        </w:rPr>
        <w:t>considéré comme limité et, en tout état de cause, non exagéré.</w:t>
      </w:r>
    </w:p>
    <w:p>
      <w:pPr>
        <w:pStyle w:val="BodyText"/>
        <w:spacing w:before="84"/>
      </w:pPr>
    </w:p>
    <w:p>
      <w:pPr>
        <w:spacing w:before="0"/>
        <w:ind w:left="590" w:right="0" w:firstLine="0"/>
        <w:jc w:val="left"/>
        <w:rPr>
          <w:i/>
          <w:sz w:val="24"/>
        </w:rPr>
      </w:pPr>
      <w:r>
        <w:rPr>
          <w:i/>
          <w:sz w:val="24"/>
        </w:rPr>
        <w:t>Similitude</w:t>
      </w:r>
      <w:r>
        <w:rPr>
          <w:i/>
          <w:spacing w:val="-1"/>
          <w:sz w:val="24"/>
        </w:rPr>
        <w:t> </w:t>
      </w:r>
      <w:r>
        <w:rPr>
          <w:i/>
          <w:spacing w:val="-2"/>
          <w:sz w:val="24"/>
        </w:rPr>
        <w:t>phonétique</w:t>
      </w:r>
    </w:p>
    <w:p>
      <w:pPr>
        <w:pStyle w:val="ListParagraph"/>
        <w:numPr>
          <w:ilvl w:val="0"/>
          <w:numId w:val="4"/>
        </w:numPr>
        <w:tabs>
          <w:tab w:pos="1016" w:val="left" w:leader="none"/>
        </w:tabs>
        <w:spacing w:line="240" w:lineRule="auto" w:before="242" w:after="0"/>
        <w:ind w:left="1016" w:right="0" w:hanging="426"/>
        <w:jc w:val="both"/>
        <w:rPr>
          <w:sz w:val="24"/>
        </w:rPr>
      </w:pPr>
      <w:r>
        <w:rPr>
          <w:sz w:val="24"/>
        </w:rPr>
        <w:t>Les</w:t>
      </w:r>
      <w:r>
        <w:rPr>
          <w:spacing w:val="-2"/>
          <w:sz w:val="24"/>
        </w:rPr>
        <w:t> </w:t>
      </w:r>
      <w:r>
        <w:rPr>
          <w:sz w:val="24"/>
        </w:rPr>
        <w:t>signes</w:t>
      </w:r>
      <w:r>
        <w:rPr>
          <w:spacing w:val="1"/>
          <w:sz w:val="24"/>
        </w:rPr>
        <w:t> </w:t>
      </w:r>
      <w:r>
        <w:rPr>
          <w:sz w:val="24"/>
        </w:rPr>
        <w:t>coïncident</w:t>
      </w:r>
      <w:r>
        <w:rPr>
          <w:spacing w:val="-1"/>
          <w:sz w:val="24"/>
        </w:rPr>
        <w:t> </w:t>
      </w:r>
      <w:r>
        <w:rPr>
          <w:sz w:val="24"/>
        </w:rPr>
        <w:t>par la</w:t>
      </w:r>
      <w:r>
        <w:rPr>
          <w:spacing w:val="-1"/>
          <w:sz w:val="24"/>
        </w:rPr>
        <w:t> </w:t>
      </w:r>
      <w:r>
        <w:rPr>
          <w:sz w:val="24"/>
        </w:rPr>
        <w:t>prononciation</w:t>
      </w:r>
      <w:r>
        <w:rPr>
          <w:spacing w:val="-1"/>
          <w:sz w:val="24"/>
        </w:rPr>
        <w:t> </w:t>
      </w:r>
      <w:r>
        <w:rPr>
          <w:sz w:val="24"/>
        </w:rPr>
        <w:t>du</w:t>
      </w:r>
      <w:r>
        <w:rPr>
          <w:spacing w:val="-1"/>
          <w:sz w:val="24"/>
        </w:rPr>
        <w:t> </w:t>
      </w:r>
      <w:r>
        <w:rPr>
          <w:sz w:val="24"/>
        </w:rPr>
        <w:t>nombre</w:t>
      </w:r>
      <w:r>
        <w:rPr>
          <w:spacing w:val="1"/>
          <w:sz w:val="24"/>
        </w:rPr>
        <w:t> </w:t>
      </w:r>
      <w:r>
        <w:rPr>
          <w:spacing w:val="-4"/>
          <w:sz w:val="24"/>
        </w:rPr>
        <w:t>«5».</w:t>
      </w:r>
    </w:p>
    <w:p>
      <w:pPr>
        <w:pStyle w:val="ListParagraph"/>
        <w:numPr>
          <w:ilvl w:val="0"/>
          <w:numId w:val="4"/>
        </w:numPr>
        <w:tabs>
          <w:tab w:pos="1015" w:val="left" w:leader="none"/>
          <w:tab w:pos="1017" w:val="left" w:leader="none"/>
        </w:tabs>
        <w:spacing w:line="240" w:lineRule="auto" w:before="236" w:after="0"/>
        <w:ind w:left="1017" w:right="166" w:hanging="428"/>
        <w:jc w:val="both"/>
        <w:rPr>
          <w:sz w:val="24"/>
        </w:rPr>
      </w:pPr>
      <w:r>
        <w:rPr>
          <w:sz w:val="24"/>
        </w:rPr>
        <w:t>Dans la marque antérieure «No 5», certes composée de deux éléments, l’accent phonétique en français est nécessairement mis davantage sur le nombre «5», ce qui fournit</w:t>
      </w:r>
      <w:r>
        <w:rPr>
          <w:spacing w:val="-5"/>
          <w:sz w:val="24"/>
        </w:rPr>
        <w:t> </w:t>
      </w:r>
      <w:r>
        <w:rPr>
          <w:sz w:val="24"/>
        </w:rPr>
        <w:t>les</w:t>
      </w:r>
      <w:r>
        <w:rPr>
          <w:spacing w:val="-6"/>
          <w:sz w:val="24"/>
        </w:rPr>
        <w:t> </w:t>
      </w:r>
      <w:r>
        <w:rPr>
          <w:sz w:val="24"/>
        </w:rPr>
        <w:t>informations</w:t>
      </w:r>
      <w:r>
        <w:rPr>
          <w:spacing w:val="-6"/>
          <w:sz w:val="24"/>
        </w:rPr>
        <w:t> </w:t>
      </w:r>
      <w:r>
        <w:rPr>
          <w:sz w:val="24"/>
        </w:rPr>
        <w:t>attendues</w:t>
      </w:r>
      <w:r>
        <w:rPr>
          <w:spacing w:val="-6"/>
          <w:sz w:val="24"/>
        </w:rPr>
        <w:t> </w:t>
      </w:r>
      <w:r>
        <w:rPr>
          <w:sz w:val="24"/>
        </w:rPr>
        <w:t>à</w:t>
      </w:r>
      <w:r>
        <w:rPr>
          <w:spacing w:val="-5"/>
          <w:sz w:val="24"/>
        </w:rPr>
        <w:t> </w:t>
      </w:r>
      <w:r>
        <w:rPr>
          <w:sz w:val="24"/>
        </w:rPr>
        <w:t>la</w:t>
      </w:r>
      <w:r>
        <w:rPr>
          <w:spacing w:val="-6"/>
          <w:sz w:val="24"/>
        </w:rPr>
        <w:t> </w:t>
      </w:r>
      <w:r>
        <w:rPr>
          <w:sz w:val="24"/>
        </w:rPr>
        <w:t>suite</w:t>
      </w:r>
      <w:r>
        <w:rPr>
          <w:spacing w:val="-5"/>
          <w:sz w:val="24"/>
        </w:rPr>
        <w:t> </w:t>
      </w:r>
      <w:r>
        <w:rPr>
          <w:sz w:val="24"/>
        </w:rPr>
        <w:t>de</w:t>
      </w:r>
      <w:r>
        <w:rPr>
          <w:spacing w:val="-7"/>
          <w:sz w:val="24"/>
        </w:rPr>
        <w:t> </w:t>
      </w:r>
      <w:r>
        <w:rPr>
          <w:sz w:val="24"/>
        </w:rPr>
        <w:t>l’utilisation</w:t>
      </w:r>
      <w:r>
        <w:rPr>
          <w:spacing w:val="-6"/>
          <w:sz w:val="24"/>
        </w:rPr>
        <w:t> </w:t>
      </w:r>
      <w:r>
        <w:rPr>
          <w:sz w:val="24"/>
        </w:rPr>
        <w:t>de</w:t>
      </w:r>
      <w:r>
        <w:rPr>
          <w:spacing w:val="-7"/>
          <w:sz w:val="24"/>
        </w:rPr>
        <w:t> </w:t>
      </w:r>
      <w:r>
        <w:rPr>
          <w:sz w:val="24"/>
        </w:rPr>
        <w:t>l’abréviation</w:t>
      </w:r>
      <w:r>
        <w:rPr>
          <w:spacing w:val="-1"/>
          <w:sz w:val="24"/>
        </w:rPr>
        <w:t> </w:t>
      </w:r>
      <w:r>
        <w:rPr>
          <w:sz w:val="24"/>
        </w:rPr>
        <w:t>«No»,</w:t>
      </w:r>
      <w:r>
        <w:rPr>
          <w:spacing w:val="-4"/>
          <w:sz w:val="24"/>
        </w:rPr>
        <w:t> </w:t>
      </w:r>
      <w:r>
        <w:rPr>
          <w:sz w:val="24"/>
        </w:rPr>
        <w:t>qui n’est pas utilisée seule.</w:t>
      </w:r>
    </w:p>
    <w:p>
      <w:pPr>
        <w:pStyle w:val="ListParagraph"/>
        <w:numPr>
          <w:ilvl w:val="0"/>
          <w:numId w:val="4"/>
        </w:numPr>
        <w:tabs>
          <w:tab w:pos="1015" w:val="left" w:leader="none"/>
          <w:tab w:pos="1017" w:val="left" w:leader="none"/>
        </w:tabs>
        <w:spacing w:line="240" w:lineRule="auto" w:before="240" w:after="0"/>
        <w:ind w:left="1017" w:right="159" w:hanging="428"/>
        <w:jc w:val="both"/>
        <w:rPr>
          <w:sz w:val="24"/>
        </w:rPr>
      </w:pPr>
      <w:r>
        <w:rPr>
          <w:sz w:val="24"/>
        </w:rPr>
        <w:t>Lorsqu’un</w:t>
      </w:r>
      <w:r>
        <w:rPr>
          <w:spacing w:val="-1"/>
          <w:sz w:val="24"/>
        </w:rPr>
        <w:t> </w:t>
      </w:r>
      <w:r>
        <w:rPr>
          <w:sz w:val="24"/>
        </w:rPr>
        <w:t>consommateur</w:t>
      </w:r>
      <w:r>
        <w:rPr>
          <w:spacing w:val="-1"/>
          <w:sz w:val="24"/>
        </w:rPr>
        <w:t> </w:t>
      </w:r>
      <w:r>
        <w:rPr>
          <w:sz w:val="24"/>
        </w:rPr>
        <w:t>commande</w:t>
      </w:r>
      <w:r>
        <w:rPr>
          <w:spacing w:val="-1"/>
          <w:sz w:val="24"/>
        </w:rPr>
        <w:t> </w:t>
      </w:r>
      <w:r>
        <w:rPr>
          <w:sz w:val="24"/>
        </w:rPr>
        <w:t>un parfum ou un cosmétique portant le</w:t>
      </w:r>
      <w:r>
        <w:rPr>
          <w:spacing w:val="-1"/>
          <w:sz w:val="24"/>
        </w:rPr>
        <w:t> </w:t>
      </w:r>
      <w:r>
        <w:rPr>
          <w:sz w:val="24"/>
        </w:rPr>
        <w:t>nom de marque «No 5»</w:t>
      </w:r>
      <w:r>
        <w:rPr>
          <w:spacing w:val="-5"/>
          <w:sz w:val="24"/>
        </w:rPr>
        <w:t> </w:t>
      </w:r>
      <w:r>
        <w:rPr>
          <w:sz w:val="24"/>
        </w:rPr>
        <w:t>ou indique à l’hôtel que sa pièce est «No 2», dans les deux cas, c’est le numéro qui constitue le terme important et sur lequel l’accentuation tonique est </w:t>
      </w:r>
      <w:r>
        <w:rPr>
          <w:spacing w:val="-2"/>
          <w:sz w:val="24"/>
        </w:rPr>
        <w:t>placée.</w:t>
      </w:r>
    </w:p>
    <w:p>
      <w:pPr>
        <w:pStyle w:val="ListParagraph"/>
        <w:numPr>
          <w:ilvl w:val="0"/>
          <w:numId w:val="4"/>
        </w:numPr>
        <w:tabs>
          <w:tab w:pos="1015" w:val="left" w:leader="none"/>
          <w:tab w:pos="1017" w:val="left" w:leader="none"/>
        </w:tabs>
        <w:spacing w:line="240" w:lineRule="auto" w:before="239" w:after="0"/>
        <w:ind w:left="1017" w:right="168" w:hanging="428"/>
        <w:jc w:val="both"/>
        <w:rPr>
          <w:sz w:val="24"/>
        </w:rPr>
      </w:pPr>
      <w:r>
        <w:rPr>
          <w:sz w:val="24"/>
        </w:rPr>
        <w:t>Sans être dominant, la prononciation du chiffre «5» est proéminente sur le plan </w:t>
      </w:r>
      <w:r>
        <w:rPr>
          <w:spacing w:val="-2"/>
          <w:sz w:val="24"/>
        </w:rPr>
        <w:t>phonétique.</w:t>
      </w:r>
    </w:p>
    <w:p>
      <w:pPr>
        <w:pStyle w:val="ListParagraph"/>
        <w:numPr>
          <w:ilvl w:val="0"/>
          <w:numId w:val="4"/>
        </w:numPr>
        <w:tabs>
          <w:tab w:pos="1015" w:val="left" w:leader="none"/>
          <w:tab w:pos="1017" w:val="left" w:leader="none"/>
        </w:tabs>
        <w:spacing w:line="240" w:lineRule="auto" w:before="239" w:after="0"/>
        <w:ind w:left="1017" w:right="158" w:hanging="428"/>
        <w:jc w:val="both"/>
        <w:rPr>
          <w:sz w:val="24"/>
        </w:rPr>
      </w:pPr>
      <w:r>
        <w:rPr>
          <w:sz w:val="24"/>
        </w:rPr>
        <w:t>Dans le signe contesté</w:t>
      </w:r>
      <w:r>
        <w:rPr>
          <w:spacing w:val="1"/>
          <w:sz w:val="24"/>
        </w:rPr>
        <w:drawing>
          <wp:inline distT="0" distB="0" distL="0" distR="0">
            <wp:extent cx="186029" cy="278130"/>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7" cstate="print"/>
                    <a:stretch>
                      <a:fillRect/>
                    </a:stretch>
                  </pic:blipFill>
                  <pic:spPr>
                    <a:xfrm>
                      <a:off x="0" y="0"/>
                      <a:ext cx="186029" cy="278130"/>
                    </a:xfrm>
                    <a:prstGeom prst="rect">
                      <a:avLst/>
                    </a:prstGeom>
                  </pic:spPr>
                </pic:pic>
              </a:graphicData>
            </a:graphic>
          </wp:inline>
        </w:drawing>
      </w:r>
      <w:r>
        <w:rPr>
          <w:spacing w:val="1"/>
          <w:sz w:val="24"/>
        </w:rPr>
      </w:r>
      <w:r>
        <w:rPr>
          <w:sz w:val="24"/>
        </w:rPr>
        <w:t>, l’élément graphique arbitraire intégré dans la partie supérieure du chiffre «5» n’a pas de signification prédéterminée pour le public pertinent, qui peut le percevoir de différentes manières.</w:t>
      </w:r>
    </w:p>
    <w:p>
      <w:pPr>
        <w:pStyle w:val="BodyText"/>
        <w:rPr>
          <w:sz w:val="18"/>
        </w:rPr>
      </w:pPr>
    </w:p>
    <w:p>
      <w:pPr>
        <w:pStyle w:val="BodyText"/>
        <w:spacing w:before="30"/>
        <w:rPr>
          <w:sz w:val="18"/>
        </w:rPr>
      </w:pPr>
    </w:p>
    <w:p>
      <w:pPr>
        <w:spacing w:before="0"/>
        <w:ind w:left="2737" w:right="2738" w:firstLine="0"/>
        <w:jc w:val="center"/>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p>
      <w:pPr>
        <w:spacing w:after="0"/>
        <w:jc w:val="center"/>
        <w:rPr>
          <w:sz w:val="18"/>
        </w:rPr>
        <w:sectPr>
          <w:pgSz w:w="11910" w:h="16840"/>
          <w:pgMar w:header="970" w:footer="0" w:top="1180" w:bottom="280" w:left="1275" w:right="1275"/>
        </w:sectPr>
      </w:pPr>
    </w:p>
    <w:p>
      <w:pPr>
        <w:pStyle w:val="ListParagraph"/>
        <w:numPr>
          <w:ilvl w:val="0"/>
          <w:numId w:val="4"/>
        </w:numPr>
        <w:tabs>
          <w:tab w:pos="1015" w:val="left" w:leader="none"/>
          <w:tab w:pos="1017" w:val="left" w:leader="none"/>
        </w:tabs>
        <w:spacing w:line="240" w:lineRule="auto" w:before="249" w:after="0"/>
        <w:ind w:left="1017" w:right="165" w:hanging="428"/>
        <w:jc w:val="both"/>
        <w:rPr>
          <w:sz w:val="24"/>
        </w:rPr>
      </w:pPr>
      <w:r>
        <w:rPr>
          <w:sz w:val="24"/>
        </w:rPr>
        <mc:AlternateContent>
          <mc:Choice Requires="wps">
            <w:drawing>
              <wp:anchor distT="0" distB="0" distL="0" distR="0" allowOverlap="1" layoutInCell="1" locked="0" behindDoc="0" simplePos="0" relativeHeight="15737344">
                <wp:simplePos x="0" y="0"/>
                <wp:positionH relativeFrom="page">
                  <wp:posOffset>270575</wp:posOffset>
                </wp:positionH>
                <wp:positionV relativeFrom="page">
                  <wp:posOffset>1114363</wp:posOffset>
                </wp:positionV>
                <wp:extent cx="146050" cy="921004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146050" cy="9210040"/>
                        </a:xfrm>
                        <a:prstGeom prst="rect">
                          <a:avLst/>
                        </a:prstGeom>
                      </wps:spPr>
                      <wps:txbx>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wps:txbx>
                      <wps:bodyPr wrap="square" lIns="0" tIns="0" rIns="0" bIns="0" rtlCol="0" vert="vert270">
                        <a:noAutofit/>
                      </wps:bodyPr>
                    </wps:wsp>
                  </a:graphicData>
                </a:graphic>
              </wp:anchor>
            </w:drawing>
          </mc:Choice>
          <mc:Fallback>
            <w:pict>
              <v:shape style="position:absolute;margin-left:21.305176pt;margin-top:87.745193pt;width:11.5pt;height:725.2pt;mso-position-horizontal-relative:page;mso-position-vertical-relative:page;z-index:15737344" type="#_x0000_t202" id="docshape17" filled="false" stroked="false">
                <v:textbox inset="0,0,0,0" style="layout-flow:vertical;mso-layout-flow-alt:bottom-to-top">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v:textbox>
                <w10:wrap type="none"/>
              </v:shape>
            </w:pict>
          </mc:Fallback>
        </mc:AlternateContent>
      </w:r>
      <w:r>
        <w:rPr>
          <w:sz w:val="24"/>
        </w:rPr>
        <w:t>Si le public le perçoit comme un élément graphique arbitraire, ou comme la représentation graphique d’une partie d’un produit, comme les sangles d’une brosse pour un produit cosmétique, cet élément n’est pas prononcé et son emplacement phonétique est inexistant. Les signes sont dès lors très similaires.</w:t>
      </w:r>
    </w:p>
    <w:p>
      <w:pPr>
        <w:pStyle w:val="ListParagraph"/>
        <w:numPr>
          <w:ilvl w:val="0"/>
          <w:numId w:val="4"/>
        </w:numPr>
        <w:tabs>
          <w:tab w:pos="1015" w:val="left" w:leader="none"/>
          <w:tab w:pos="1017" w:val="left" w:leader="none"/>
        </w:tabs>
        <w:spacing w:line="240" w:lineRule="auto" w:before="238" w:after="0"/>
        <w:ind w:left="1017" w:right="159" w:hanging="428"/>
        <w:jc w:val="both"/>
        <w:rPr>
          <w:sz w:val="24"/>
        </w:rPr>
      </w:pPr>
      <w:r>
        <w:rPr>
          <w:sz w:val="24"/>
        </w:rPr>
        <w:t>S’il</w:t>
      </w:r>
      <w:r>
        <w:rPr>
          <w:spacing w:val="-13"/>
          <w:sz w:val="24"/>
        </w:rPr>
        <w:t> </w:t>
      </w:r>
      <w:r>
        <w:rPr>
          <w:sz w:val="24"/>
        </w:rPr>
        <w:t>est</w:t>
      </w:r>
      <w:r>
        <w:rPr>
          <w:spacing w:val="-11"/>
          <w:sz w:val="24"/>
        </w:rPr>
        <w:t> </w:t>
      </w:r>
      <w:r>
        <w:rPr>
          <w:sz w:val="24"/>
        </w:rPr>
        <w:t>perçu</w:t>
      </w:r>
      <w:r>
        <w:rPr>
          <w:spacing w:val="-10"/>
          <w:sz w:val="24"/>
        </w:rPr>
        <w:t> </w:t>
      </w:r>
      <w:r>
        <w:rPr>
          <w:sz w:val="24"/>
        </w:rPr>
        <w:t>comme</w:t>
      </w:r>
      <w:r>
        <w:rPr>
          <w:spacing w:val="-13"/>
          <w:sz w:val="24"/>
        </w:rPr>
        <w:t> </w:t>
      </w:r>
      <w:r>
        <w:rPr>
          <w:sz w:val="24"/>
        </w:rPr>
        <w:t>une</w:t>
      </w:r>
      <w:r>
        <w:rPr>
          <w:spacing w:val="-11"/>
          <w:sz w:val="24"/>
        </w:rPr>
        <w:t> </w:t>
      </w:r>
      <w:r>
        <w:rPr>
          <w:sz w:val="24"/>
        </w:rPr>
        <w:t>représentation</w:t>
      </w:r>
      <w:r>
        <w:rPr>
          <w:spacing w:val="-12"/>
          <w:sz w:val="24"/>
        </w:rPr>
        <w:t> </w:t>
      </w:r>
      <w:r>
        <w:rPr>
          <w:sz w:val="24"/>
        </w:rPr>
        <w:t>de</w:t>
      </w:r>
      <w:r>
        <w:rPr>
          <w:spacing w:val="-13"/>
          <w:sz w:val="24"/>
        </w:rPr>
        <w:t> </w:t>
      </w:r>
      <w:r>
        <w:rPr>
          <w:sz w:val="24"/>
        </w:rPr>
        <w:t>la</w:t>
      </w:r>
      <w:r>
        <w:rPr>
          <w:spacing w:val="-13"/>
          <w:sz w:val="24"/>
        </w:rPr>
        <w:t> </w:t>
      </w:r>
      <w:r>
        <w:rPr>
          <w:sz w:val="24"/>
        </w:rPr>
        <w:t>lettre</w:t>
      </w:r>
      <w:r>
        <w:rPr>
          <w:spacing w:val="-11"/>
          <w:sz w:val="24"/>
        </w:rPr>
        <w:t> </w:t>
      </w:r>
      <w:r>
        <w:rPr>
          <w:sz w:val="24"/>
        </w:rPr>
        <w:t>«m»</w:t>
      </w:r>
      <w:r>
        <w:rPr>
          <w:spacing w:val="-15"/>
          <w:sz w:val="24"/>
        </w:rPr>
        <w:t> </w:t>
      </w:r>
      <w:r>
        <w:rPr>
          <w:sz w:val="24"/>
        </w:rPr>
        <w:t>ou</w:t>
      </w:r>
      <w:r>
        <w:rPr>
          <w:spacing w:val="-7"/>
          <w:sz w:val="24"/>
        </w:rPr>
        <w:t> </w:t>
      </w:r>
      <w:r>
        <w:rPr>
          <w:sz w:val="24"/>
        </w:rPr>
        <w:t>«n»,</w:t>
      </w:r>
      <w:r>
        <w:rPr>
          <w:spacing w:val="-10"/>
          <w:sz w:val="24"/>
        </w:rPr>
        <w:t> </w:t>
      </w:r>
      <w:r>
        <w:rPr>
          <w:sz w:val="24"/>
        </w:rPr>
        <w:t>il</w:t>
      </w:r>
      <w:r>
        <w:rPr>
          <w:spacing w:val="-11"/>
          <w:sz w:val="24"/>
        </w:rPr>
        <w:t> </w:t>
      </w:r>
      <w:r>
        <w:rPr>
          <w:sz w:val="24"/>
        </w:rPr>
        <w:t>n’y</w:t>
      </w:r>
      <w:r>
        <w:rPr>
          <w:spacing w:val="-14"/>
          <w:sz w:val="24"/>
        </w:rPr>
        <w:t> </w:t>
      </w:r>
      <w:r>
        <w:rPr>
          <w:sz w:val="24"/>
        </w:rPr>
        <w:t>a</w:t>
      </w:r>
      <w:r>
        <w:rPr>
          <w:spacing w:val="-13"/>
          <w:sz w:val="24"/>
        </w:rPr>
        <w:t> </w:t>
      </w:r>
      <w:r>
        <w:rPr>
          <w:sz w:val="24"/>
        </w:rPr>
        <w:t>aucune</w:t>
      </w:r>
      <w:r>
        <w:rPr>
          <w:spacing w:val="-13"/>
          <w:sz w:val="24"/>
        </w:rPr>
        <w:t> </w:t>
      </w:r>
      <w:r>
        <w:rPr>
          <w:sz w:val="24"/>
        </w:rPr>
        <w:t>raison de</w:t>
      </w:r>
      <w:r>
        <w:rPr>
          <w:spacing w:val="-8"/>
          <w:sz w:val="24"/>
        </w:rPr>
        <w:t> </w:t>
      </w:r>
      <w:r>
        <w:rPr>
          <w:sz w:val="24"/>
        </w:rPr>
        <w:t>croire</w:t>
      </w:r>
      <w:r>
        <w:rPr>
          <w:spacing w:val="-9"/>
          <w:sz w:val="24"/>
        </w:rPr>
        <w:t> </w:t>
      </w:r>
      <w:r>
        <w:rPr>
          <w:sz w:val="24"/>
        </w:rPr>
        <w:t>que,</w:t>
      </w:r>
      <w:r>
        <w:rPr>
          <w:spacing w:val="-8"/>
          <w:sz w:val="24"/>
        </w:rPr>
        <w:t> </w:t>
      </w:r>
      <w:r>
        <w:rPr>
          <w:sz w:val="24"/>
        </w:rPr>
        <w:t>compte</w:t>
      </w:r>
      <w:r>
        <w:rPr>
          <w:spacing w:val="-8"/>
          <w:sz w:val="24"/>
        </w:rPr>
        <w:t> </w:t>
      </w:r>
      <w:r>
        <w:rPr>
          <w:sz w:val="24"/>
        </w:rPr>
        <w:t>tenu</w:t>
      </w:r>
      <w:r>
        <w:rPr>
          <w:spacing w:val="-8"/>
          <w:sz w:val="24"/>
        </w:rPr>
        <w:t> </w:t>
      </w:r>
      <w:r>
        <w:rPr>
          <w:sz w:val="24"/>
        </w:rPr>
        <w:t>de</w:t>
      </w:r>
      <w:r>
        <w:rPr>
          <w:spacing w:val="-8"/>
          <w:sz w:val="24"/>
        </w:rPr>
        <w:t> </w:t>
      </w:r>
      <w:r>
        <w:rPr>
          <w:sz w:val="24"/>
        </w:rPr>
        <w:t>l’impression</w:t>
      </w:r>
      <w:r>
        <w:rPr>
          <w:spacing w:val="-8"/>
          <w:sz w:val="24"/>
        </w:rPr>
        <w:t> </w:t>
      </w:r>
      <w:r>
        <w:rPr>
          <w:sz w:val="24"/>
        </w:rPr>
        <w:t>d’ensemble</w:t>
      </w:r>
      <w:r>
        <w:rPr>
          <w:spacing w:val="-8"/>
          <w:sz w:val="24"/>
        </w:rPr>
        <w:t> </w:t>
      </w:r>
      <w:r>
        <w:rPr>
          <w:sz w:val="24"/>
        </w:rPr>
        <w:t>produite</w:t>
      </w:r>
      <w:r>
        <w:rPr>
          <w:spacing w:val="-9"/>
          <w:sz w:val="24"/>
        </w:rPr>
        <w:t> </w:t>
      </w:r>
      <w:r>
        <w:rPr>
          <w:sz w:val="24"/>
        </w:rPr>
        <w:t>par</w:t>
      </w:r>
      <w:r>
        <w:rPr>
          <w:spacing w:val="-8"/>
          <w:sz w:val="24"/>
        </w:rPr>
        <w:t> </w:t>
      </w:r>
      <w:r>
        <w:rPr>
          <w:sz w:val="24"/>
        </w:rPr>
        <w:t>le</w:t>
      </w:r>
      <w:r>
        <w:rPr>
          <w:spacing w:val="-9"/>
          <w:sz w:val="24"/>
        </w:rPr>
        <w:t> </w:t>
      </w:r>
      <w:r>
        <w:rPr>
          <w:sz w:val="24"/>
        </w:rPr>
        <w:t>signe,</w:t>
      </w:r>
      <w:r>
        <w:rPr>
          <w:spacing w:val="-8"/>
          <w:sz w:val="24"/>
        </w:rPr>
        <w:t> </w:t>
      </w:r>
      <w:r>
        <w:rPr>
          <w:sz w:val="24"/>
        </w:rPr>
        <w:t>le</w:t>
      </w:r>
      <w:r>
        <w:rPr>
          <w:spacing w:val="-8"/>
          <w:sz w:val="24"/>
        </w:rPr>
        <w:t> </w:t>
      </w:r>
      <w:r>
        <w:rPr>
          <w:sz w:val="24"/>
        </w:rPr>
        <w:t>public prononcera effectivement la prononciation de la lettre «M-5 déférées»</w:t>
      </w:r>
      <w:r>
        <w:rPr>
          <w:spacing w:val="-6"/>
          <w:sz w:val="24"/>
        </w:rPr>
        <w:t> </w:t>
      </w:r>
      <w:r>
        <w:rPr>
          <w:sz w:val="24"/>
        </w:rPr>
        <w:t>ou «N». Si tel était néanmoins le cas, bien qu’il ne s’agisse pas de l’hypothèse la plus probable compte</w:t>
      </w:r>
      <w:r>
        <w:rPr>
          <w:spacing w:val="-9"/>
          <w:sz w:val="24"/>
        </w:rPr>
        <w:t> </w:t>
      </w:r>
      <w:r>
        <w:rPr>
          <w:sz w:val="24"/>
        </w:rPr>
        <w:t>tenu</w:t>
      </w:r>
      <w:r>
        <w:rPr>
          <w:spacing w:val="-9"/>
          <w:sz w:val="24"/>
        </w:rPr>
        <w:t> </w:t>
      </w:r>
      <w:r>
        <w:rPr>
          <w:sz w:val="24"/>
        </w:rPr>
        <w:t>de</w:t>
      </w:r>
      <w:r>
        <w:rPr>
          <w:spacing w:val="-9"/>
          <w:sz w:val="24"/>
        </w:rPr>
        <w:t> </w:t>
      </w:r>
      <w:r>
        <w:rPr>
          <w:sz w:val="24"/>
        </w:rPr>
        <w:t>la</w:t>
      </w:r>
      <w:r>
        <w:rPr>
          <w:spacing w:val="-9"/>
          <w:sz w:val="24"/>
        </w:rPr>
        <w:t> </w:t>
      </w:r>
      <w:r>
        <w:rPr>
          <w:sz w:val="24"/>
        </w:rPr>
        <w:t>position</w:t>
      </w:r>
      <w:r>
        <w:rPr>
          <w:spacing w:val="-8"/>
          <w:sz w:val="24"/>
        </w:rPr>
        <w:t> </w:t>
      </w:r>
      <w:r>
        <w:rPr>
          <w:sz w:val="24"/>
        </w:rPr>
        <w:t>secondaire</w:t>
      </w:r>
      <w:r>
        <w:rPr>
          <w:spacing w:val="-9"/>
          <w:sz w:val="24"/>
        </w:rPr>
        <w:t> </w:t>
      </w:r>
      <w:r>
        <w:rPr>
          <w:sz w:val="24"/>
        </w:rPr>
        <w:t>de</w:t>
      </w:r>
      <w:r>
        <w:rPr>
          <w:spacing w:val="-9"/>
          <w:sz w:val="24"/>
        </w:rPr>
        <w:t> </w:t>
      </w:r>
      <w:r>
        <w:rPr>
          <w:sz w:val="24"/>
        </w:rPr>
        <w:t>l’élément</w:t>
      </w:r>
      <w:r>
        <w:rPr>
          <w:spacing w:val="-3"/>
          <w:sz w:val="24"/>
        </w:rPr>
        <w:t> </w:t>
      </w:r>
      <w:r>
        <w:rPr>
          <w:sz w:val="24"/>
        </w:rPr>
        <w:t>perçu</w:t>
      </w:r>
      <w:r>
        <w:rPr>
          <w:spacing w:val="-6"/>
          <w:sz w:val="24"/>
        </w:rPr>
        <w:t> </w:t>
      </w:r>
      <w:r>
        <w:rPr>
          <w:sz w:val="24"/>
        </w:rPr>
        <w:t>comme</w:t>
      </w:r>
      <w:r>
        <w:rPr>
          <w:spacing w:val="-9"/>
          <w:sz w:val="24"/>
        </w:rPr>
        <w:t> </w:t>
      </w:r>
      <w:r>
        <w:rPr>
          <w:sz w:val="24"/>
        </w:rPr>
        <w:t>une</w:t>
      </w:r>
      <w:r>
        <w:rPr>
          <w:spacing w:val="-9"/>
          <w:sz w:val="24"/>
        </w:rPr>
        <w:t> </w:t>
      </w:r>
      <w:r>
        <w:rPr>
          <w:sz w:val="24"/>
        </w:rPr>
        <w:t>lettre,</w:t>
      </w:r>
      <w:r>
        <w:rPr>
          <w:spacing w:val="-6"/>
          <w:sz w:val="24"/>
        </w:rPr>
        <w:t> </w:t>
      </w:r>
      <w:r>
        <w:rPr>
          <w:sz w:val="24"/>
        </w:rPr>
        <w:t>les</w:t>
      </w:r>
      <w:r>
        <w:rPr>
          <w:spacing w:val="-9"/>
          <w:sz w:val="24"/>
        </w:rPr>
        <w:t> </w:t>
      </w:r>
      <w:r>
        <w:rPr>
          <w:sz w:val="24"/>
        </w:rPr>
        <w:t>signes devraient</w:t>
      </w:r>
      <w:r>
        <w:rPr>
          <w:spacing w:val="-6"/>
          <w:sz w:val="24"/>
        </w:rPr>
        <w:t> </w:t>
      </w:r>
      <w:r>
        <w:rPr>
          <w:sz w:val="24"/>
        </w:rPr>
        <w:t>être</w:t>
      </w:r>
      <w:r>
        <w:rPr>
          <w:spacing w:val="-7"/>
          <w:sz w:val="24"/>
        </w:rPr>
        <w:t> </w:t>
      </w:r>
      <w:r>
        <w:rPr>
          <w:sz w:val="24"/>
        </w:rPr>
        <w:t>considérés</w:t>
      </w:r>
      <w:r>
        <w:rPr>
          <w:spacing w:val="-3"/>
          <w:sz w:val="24"/>
        </w:rPr>
        <w:t> </w:t>
      </w:r>
      <w:r>
        <w:rPr>
          <w:sz w:val="24"/>
        </w:rPr>
        <w:t>comme</w:t>
      </w:r>
      <w:r>
        <w:rPr>
          <w:spacing w:val="-7"/>
          <w:sz w:val="24"/>
        </w:rPr>
        <w:t> </w:t>
      </w:r>
      <w:r>
        <w:rPr>
          <w:sz w:val="24"/>
        </w:rPr>
        <w:t>similaires</w:t>
      </w:r>
      <w:r>
        <w:rPr>
          <w:spacing w:val="-6"/>
          <w:sz w:val="24"/>
        </w:rPr>
        <w:t> </w:t>
      </w:r>
      <w:r>
        <w:rPr>
          <w:sz w:val="24"/>
        </w:rPr>
        <w:t>à</w:t>
      </w:r>
      <w:r>
        <w:rPr>
          <w:spacing w:val="-7"/>
          <w:sz w:val="24"/>
        </w:rPr>
        <w:t> </w:t>
      </w:r>
      <w:r>
        <w:rPr>
          <w:sz w:val="24"/>
        </w:rPr>
        <w:t>un</w:t>
      </w:r>
      <w:r>
        <w:rPr>
          <w:spacing w:val="-6"/>
          <w:sz w:val="24"/>
        </w:rPr>
        <w:t> </w:t>
      </w:r>
      <w:r>
        <w:rPr>
          <w:sz w:val="24"/>
        </w:rPr>
        <w:t>degré</w:t>
      </w:r>
      <w:r>
        <w:rPr>
          <w:spacing w:val="-7"/>
          <w:sz w:val="24"/>
        </w:rPr>
        <w:t> </w:t>
      </w:r>
      <w:r>
        <w:rPr>
          <w:sz w:val="24"/>
        </w:rPr>
        <w:t>moyen,</w:t>
      </w:r>
      <w:r>
        <w:rPr>
          <w:spacing w:val="-6"/>
          <w:sz w:val="24"/>
        </w:rPr>
        <w:t> </w:t>
      </w:r>
      <w:r>
        <w:rPr>
          <w:sz w:val="24"/>
        </w:rPr>
        <w:t>ou</w:t>
      </w:r>
      <w:r>
        <w:rPr>
          <w:spacing w:val="-6"/>
          <w:sz w:val="24"/>
        </w:rPr>
        <w:t> </w:t>
      </w:r>
      <w:r>
        <w:rPr>
          <w:sz w:val="24"/>
        </w:rPr>
        <w:t>à</w:t>
      </w:r>
      <w:r>
        <w:rPr>
          <w:spacing w:val="-7"/>
          <w:sz w:val="24"/>
        </w:rPr>
        <w:t> </w:t>
      </w:r>
      <w:r>
        <w:rPr>
          <w:sz w:val="24"/>
        </w:rPr>
        <w:t>tout</w:t>
      </w:r>
      <w:r>
        <w:rPr>
          <w:spacing w:val="-5"/>
          <w:sz w:val="24"/>
        </w:rPr>
        <w:t> </w:t>
      </w:r>
      <w:r>
        <w:rPr>
          <w:sz w:val="24"/>
        </w:rPr>
        <w:t>le</w:t>
      </w:r>
      <w:r>
        <w:rPr>
          <w:spacing w:val="-6"/>
          <w:sz w:val="24"/>
        </w:rPr>
        <w:t> </w:t>
      </w:r>
      <w:r>
        <w:rPr>
          <w:sz w:val="24"/>
        </w:rPr>
        <w:t>moins</w:t>
      </w:r>
      <w:r>
        <w:rPr>
          <w:spacing w:val="-5"/>
          <w:sz w:val="24"/>
        </w:rPr>
        <w:t> </w:t>
      </w:r>
      <w:r>
        <w:rPr>
          <w:sz w:val="24"/>
        </w:rPr>
        <w:t>à</w:t>
      </w:r>
      <w:r>
        <w:rPr>
          <w:spacing w:val="-7"/>
          <w:sz w:val="24"/>
        </w:rPr>
        <w:t> </w:t>
      </w:r>
      <w:r>
        <w:rPr>
          <w:sz w:val="24"/>
        </w:rPr>
        <w:t>un degré inférieur à la-moyenne.</w:t>
      </w:r>
    </w:p>
    <w:p>
      <w:pPr>
        <w:pStyle w:val="ListParagraph"/>
        <w:numPr>
          <w:ilvl w:val="0"/>
          <w:numId w:val="4"/>
        </w:numPr>
        <w:tabs>
          <w:tab w:pos="1015" w:val="left" w:leader="none"/>
          <w:tab w:pos="1017" w:val="left" w:leader="none"/>
        </w:tabs>
        <w:spacing w:line="240" w:lineRule="auto" w:before="239" w:after="0"/>
        <w:ind w:left="1017" w:right="168" w:hanging="428"/>
        <w:jc w:val="both"/>
        <w:rPr>
          <w:sz w:val="24"/>
        </w:rPr>
      </w:pPr>
      <w:r>
        <w:rPr>
          <w:sz w:val="24"/>
        </w:rPr>
        <w:t>Une position médiane entre ces deux hypothèses permet de conclure que les signes présentent un degré moyen de similitude phonétique.</w:t>
      </w:r>
    </w:p>
    <w:p>
      <w:pPr>
        <w:pStyle w:val="ListParagraph"/>
        <w:numPr>
          <w:ilvl w:val="0"/>
          <w:numId w:val="4"/>
        </w:numPr>
        <w:tabs>
          <w:tab w:pos="1015" w:val="left" w:leader="none"/>
          <w:tab w:pos="1017" w:val="left" w:leader="none"/>
        </w:tabs>
        <w:spacing w:line="240" w:lineRule="auto" w:before="240" w:after="0"/>
        <w:ind w:left="1017" w:right="163" w:hanging="428"/>
        <w:jc w:val="both"/>
        <w:rPr>
          <w:sz w:val="24"/>
        </w:rPr>
      </w:pPr>
      <w:r>
        <w:rPr>
          <w:sz w:val="24"/>
        </w:rPr>
        <w:t>Le caractère distinctif et proéminent de l’élément commun et central «5» fait que l’impact phonétique des différences doit être considéré comme limité et, en tout état de cause, non exagéré.</w:t>
      </w:r>
    </w:p>
    <w:p>
      <w:pPr>
        <w:pStyle w:val="BodyText"/>
        <w:spacing w:before="85"/>
      </w:pPr>
    </w:p>
    <w:p>
      <w:pPr>
        <w:spacing w:before="0"/>
        <w:ind w:left="1017" w:right="0" w:firstLine="0"/>
        <w:jc w:val="left"/>
        <w:rPr>
          <w:i/>
          <w:sz w:val="24"/>
        </w:rPr>
      </w:pPr>
      <w:r>
        <w:rPr>
          <w:i/>
          <w:sz w:val="24"/>
        </w:rPr>
        <w:t>Similitude</w:t>
      </w:r>
      <w:r>
        <w:rPr>
          <w:i/>
          <w:spacing w:val="-1"/>
          <w:sz w:val="24"/>
        </w:rPr>
        <w:t> </w:t>
      </w:r>
      <w:r>
        <w:rPr>
          <w:i/>
          <w:spacing w:val="-2"/>
          <w:sz w:val="24"/>
        </w:rPr>
        <w:t>conceptuelle</w:t>
      </w:r>
    </w:p>
    <w:p>
      <w:pPr>
        <w:pStyle w:val="ListParagraph"/>
        <w:numPr>
          <w:ilvl w:val="0"/>
          <w:numId w:val="4"/>
        </w:numPr>
        <w:tabs>
          <w:tab w:pos="1015" w:val="left" w:leader="none"/>
          <w:tab w:pos="1017" w:val="left" w:leader="none"/>
        </w:tabs>
        <w:spacing w:line="240" w:lineRule="auto" w:before="240" w:after="0"/>
        <w:ind w:left="1017" w:right="165" w:hanging="428"/>
        <w:jc w:val="both"/>
        <w:rPr>
          <w:sz w:val="24"/>
        </w:rPr>
      </w:pPr>
      <w:r>
        <w:rPr>
          <w:sz w:val="24"/>
        </w:rPr>
        <w:t>Il y a lieu de considérer que les signes sont très similaires en ce qu’ils véhiculent la même signification par le biais de l’attribution d’une</w:t>
      </w:r>
      <w:r>
        <w:rPr>
          <w:spacing w:val="-1"/>
          <w:sz w:val="24"/>
        </w:rPr>
        <w:t> </w:t>
      </w:r>
      <w:r>
        <w:rPr>
          <w:sz w:val="24"/>
        </w:rPr>
        <w:t>commande, d’un rang</w:t>
      </w:r>
      <w:r>
        <w:rPr>
          <w:spacing w:val="-1"/>
          <w:sz w:val="24"/>
        </w:rPr>
        <w:t> </w:t>
      </w:r>
      <w:r>
        <w:rPr>
          <w:sz w:val="24"/>
        </w:rPr>
        <w:t>ou d’une identification à une chose.</w:t>
      </w:r>
    </w:p>
    <w:p>
      <w:pPr>
        <w:pStyle w:val="ListParagraph"/>
        <w:numPr>
          <w:ilvl w:val="0"/>
          <w:numId w:val="4"/>
        </w:numPr>
        <w:tabs>
          <w:tab w:pos="1015" w:val="left" w:leader="none"/>
          <w:tab w:pos="1017" w:val="left" w:leader="none"/>
        </w:tabs>
        <w:spacing w:line="240" w:lineRule="auto" w:before="239" w:after="0"/>
        <w:ind w:left="1017" w:right="159" w:hanging="428"/>
        <w:jc w:val="both"/>
        <w:rPr>
          <w:sz w:val="24"/>
        </w:rPr>
      </w:pPr>
      <w:r>
        <w:rPr>
          <w:sz w:val="24"/>
        </w:rPr>
        <w:t>D’une part, dans la marque antérieure no 5, l’élément «No» n’a aucune autonomie; son</w:t>
      </w:r>
      <w:r>
        <w:rPr>
          <w:spacing w:val="-15"/>
          <w:sz w:val="24"/>
        </w:rPr>
        <w:t> </w:t>
      </w:r>
      <w:r>
        <w:rPr>
          <w:sz w:val="24"/>
        </w:rPr>
        <w:t>seul</w:t>
      </w:r>
      <w:r>
        <w:rPr>
          <w:spacing w:val="-15"/>
          <w:sz w:val="24"/>
        </w:rPr>
        <w:t> </w:t>
      </w:r>
      <w:r>
        <w:rPr>
          <w:sz w:val="24"/>
        </w:rPr>
        <w:t>objet</w:t>
      </w:r>
      <w:r>
        <w:rPr>
          <w:spacing w:val="-15"/>
          <w:sz w:val="24"/>
        </w:rPr>
        <w:t> </w:t>
      </w:r>
      <w:r>
        <w:rPr>
          <w:sz w:val="24"/>
        </w:rPr>
        <w:t>est</w:t>
      </w:r>
      <w:r>
        <w:rPr>
          <w:spacing w:val="-15"/>
          <w:sz w:val="24"/>
        </w:rPr>
        <w:t> </w:t>
      </w:r>
      <w:r>
        <w:rPr>
          <w:sz w:val="24"/>
        </w:rPr>
        <w:t>d’indiquer</w:t>
      </w:r>
      <w:r>
        <w:rPr>
          <w:spacing w:val="-15"/>
          <w:sz w:val="24"/>
        </w:rPr>
        <w:t> </w:t>
      </w:r>
      <w:r>
        <w:rPr>
          <w:sz w:val="24"/>
        </w:rPr>
        <w:t>qu’il</w:t>
      </w:r>
      <w:r>
        <w:rPr>
          <w:spacing w:val="-15"/>
          <w:sz w:val="24"/>
        </w:rPr>
        <w:t> </w:t>
      </w:r>
      <w:r>
        <w:rPr>
          <w:sz w:val="24"/>
        </w:rPr>
        <w:t>est</w:t>
      </w:r>
      <w:r>
        <w:rPr>
          <w:spacing w:val="-15"/>
          <w:sz w:val="24"/>
        </w:rPr>
        <w:t> </w:t>
      </w:r>
      <w:r>
        <w:rPr>
          <w:sz w:val="24"/>
        </w:rPr>
        <w:t>suivi</w:t>
      </w:r>
      <w:r>
        <w:rPr>
          <w:spacing w:val="-15"/>
          <w:sz w:val="24"/>
        </w:rPr>
        <w:t> </w:t>
      </w:r>
      <w:r>
        <w:rPr>
          <w:sz w:val="24"/>
        </w:rPr>
        <w:t>d’un</w:t>
      </w:r>
      <w:r>
        <w:rPr>
          <w:spacing w:val="-15"/>
          <w:sz w:val="24"/>
        </w:rPr>
        <w:t> </w:t>
      </w:r>
      <w:r>
        <w:rPr>
          <w:sz w:val="24"/>
        </w:rPr>
        <w:t>chiffre</w:t>
      </w:r>
      <w:r>
        <w:rPr>
          <w:spacing w:val="-15"/>
          <w:sz w:val="24"/>
        </w:rPr>
        <w:t> </w:t>
      </w:r>
      <w:r>
        <w:rPr>
          <w:sz w:val="24"/>
        </w:rPr>
        <w:t>ou</w:t>
      </w:r>
      <w:r>
        <w:rPr>
          <w:spacing w:val="-15"/>
          <w:sz w:val="24"/>
        </w:rPr>
        <w:t> </w:t>
      </w:r>
      <w:r>
        <w:rPr>
          <w:sz w:val="24"/>
        </w:rPr>
        <w:t>d’un</w:t>
      </w:r>
      <w:r>
        <w:rPr>
          <w:spacing w:val="-15"/>
          <w:sz w:val="24"/>
        </w:rPr>
        <w:t> </w:t>
      </w:r>
      <w:r>
        <w:rPr>
          <w:sz w:val="24"/>
        </w:rPr>
        <w:t>chiffre,</w:t>
      </w:r>
      <w:r>
        <w:rPr>
          <w:spacing w:val="-15"/>
          <w:sz w:val="24"/>
        </w:rPr>
        <w:t> </w:t>
      </w:r>
      <w:r>
        <w:rPr>
          <w:sz w:val="24"/>
        </w:rPr>
        <w:t>en</w:t>
      </w:r>
      <w:r>
        <w:rPr>
          <w:spacing w:val="-15"/>
          <w:sz w:val="24"/>
        </w:rPr>
        <w:t> </w:t>
      </w:r>
      <w:r>
        <w:rPr>
          <w:sz w:val="24"/>
        </w:rPr>
        <w:t>l’occurrence le chiffre «5», qui constitue l’information essentielle transmise par le signe et les moyens d’identification de la chose.</w:t>
      </w:r>
    </w:p>
    <w:p>
      <w:pPr>
        <w:pStyle w:val="ListParagraph"/>
        <w:numPr>
          <w:ilvl w:val="0"/>
          <w:numId w:val="4"/>
        </w:numPr>
        <w:tabs>
          <w:tab w:pos="1015" w:val="left" w:leader="none"/>
          <w:tab w:pos="1017" w:val="left" w:leader="none"/>
        </w:tabs>
        <w:spacing w:line="240" w:lineRule="auto" w:before="239" w:after="0"/>
        <w:ind w:left="1017" w:right="160" w:hanging="428"/>
        <w:jc w:val="both"/>
        <w:rPr>
          <w:sz w:val="24"/>
        </w:rPr>
      </w:pPr>
      <w:r>
        <w:rPr>
          <w:sz w:val="24"/>
        </w:rPr>
        <w:t>Pour citer à nouveau l’exemple du dictionnaire Larousse en ligne, il est parfaitement équivalent en français à dire «</w:t>
      </w:r>
      <w:r>
        <w:rPr>
          <w:i/>
          <w:sz w:val="24"/>
        </w:rPr>
        <w:t>Chambre no 2» </w:t>
      </w:r>
      <w:r>
        <w:rPr>
          <w:sz w:val="24"/>
        </w:rPr>
        <w:t>ou «</w:t>
      </w:r>
      <w:r>
        <w:rPr>
          <w:i/>
          <w:sz w:val="24"/>
        </w:rPr>
        <w:t>Chambre 2</w:t>
      </w:r>
      <w:r>
        <w:rPr>
          <w:sz w:val="24"/>
        </w:rPr>
        <w:t>». L’essentiel est d’indiquer</w:t>
      </w:r>
      <w:r>
        <w:rPr>
          <w:spacing w:val="-14"/>
          <w:sz w:val="24"/>
        </w:rPr>
        <w:t> </w:t>
      </w:r>
      <w:r>
        <w:rPr>
          <w:sz w:val="24"/>
        </w:rPr>
        <w:t>le</w:t>
      </w:r>
      <w:r>
        <w:rPr>
          <w:spacing w:val="-13"/>
          <w:sz w:val="24"/>
        </w:rPr>
        <w:t> </w:t>
      </w:r>
      <w:r>
        <w:rPr>
          <w:sz w:val="24"/>
        </w:rPr>
        <w:t>nombre</w:t>
      </w:r>
      <w:r>
        <w:rPr>
          <w:spacing w:val="-9"/>
          <w:sz w:val="24"/>
        </w:rPr>
        <w:t> </w:t>
      </w:r>
      <w:r>
        <w:rPr>
          <w:sz w:val="24"/>
        </w:rPr>
        <w:t>«2»</w:t>
      </w:r>
      <w:r>
        <w:rPr>
          <w:spacing w:val="-14"/>
          <w:sz w:val="24"/>
        </w:rPr>
        <w:t> </w:t>
      </w:r>
      <w:r>
        <w:rPr>
          <w:sz w:val="24"/>
        </w:rPr>
        <w:t>de</w:t>
      </w:r>
      <w:r>
        <w:rPr>
          <w:spacing w:val="-13"/>
          <w:sz w:val="24"/>
        </w:rPr>
        <w:t> </w:t>
      </w:r>
      <w:r>
        <w:rPr>
          <w:sz w:val="24"/>
        </w:rPr>
        <w:t>la</w:t>
      </w:r>
      <w:r>
        <w:rPr>
          <w:spacing w:val="-13"/>
          <w:sz w:val="24"/>
        </w:rPr>
        <w:t> </w:t>
      </w:r>
      <w:r>
        <w:rPr>
          <w:sz w:val="24"/>
        </w:rPr>
        <w:t>salle:</w:t>
      </w:r>
      <w:r>
        <w:rPr>
          <w:spacing w:val="-12"/>
          <w:sz w:val="24"/>
        </w:rPr>
        <w:t> </w:t>
      </w:r>
      <w:r>
        <w:rPr>
          <w:sz w:val="24"/>
        </w:rPr>
        <w:t>la</w:t>
      </w:r>
      <w:r>
        <w:rPr>
          <w:spacing w:val="-13"/>
          <w:sz w:val="24"/>
        </w:rPr>
        <w:t> </w:t>
      </w:r>
      <w:r>
        <w:rPr>
          <w:sz w:val="24"/>
        </w:rPr>
        <w:t>présence</w:t>
      </w:r>
      <w:r>
        <w:rPr>
          <w:spacing w:val="-13"/>
          <w:sz w:val="24"/>
        </w:rPr>
        <w:t> </w:t>
      </w:r>
      <w:r>
        <w:rPr>
          <w:sz w:val="24"/>
        </w:rPr>
        <w:t>ou</w:t>
      </w:r>
      <w:r>
        <w:rPr>
          <w:spacing w:val="-12"/>
          <w:sz w:val="24"/>
        </w:rPr>
        <w:t> </w:t>
      </w:r>
      <w:r>
        <w:rPr>
          <w:sz w:val="24"/>
        </w:rPr>
        <w:t>l’absence</w:t>
      </w:r>
      <w:r>
        <w:rPr>
          <w:spacing w:val="-13"/>
          <w:sz w:val="24"/>
        </w:rPr>
        <w:t> </w:t>
      </w:r>
      <w:r>
        <w:rPr>
          <w:sz w:val="24"/>
        </w:rPr>
        <w:t>du</w:t>
      </w:r>
      <w:r>
        <w:rPr>
          <w:spacing w:val="-12"/>
          <w:sz w:val="24"/>
        </w:rPr>
        <w:t> </w:t>
      </w:r>
      <w:r>
        <w:rPr>
          <w:sz w:val="24"/>
        </w:rPr>
        <w:t>signe</w:t>
      </w:r>
      <w:r>
        <w:rPr>
          <w:spacing w:val="-9"/>
          <w:sz w:val="24"/>
        </w:rPr>
        <w:t> </w:t>
      </w:r>
      <w:r>
        <w:rPr>
          <w:sz w:val="24"/>
        </w:rPr>
        <w:t>«no»</w:t>
      </w:r>
      <w:r>
        <w:rPr>
          <w:spacing w:val="-14"/>
          <w:sz w:val="24"/>
        </w:rPr>
        <w:t> </w:t>
      </w:r>
      <w:r>
        <w:rPr>
          <w:sz w:val="24"/>
        </w:rPr>
        <w:t>est</w:t>
      </w:r>
      <w:r>
        <w:rPr>
          <w:spacing w:val="-11"/>
          <w:sz w:val="24"/>
        </w:rPr>
        <w:t> </w:t>
      </w:r>
      <w:r>
        <w:rPr>
          <w:sz w:val="24"/>
        </w:rPr>
        <w:t>neutre sur</w:t>
      </w:r>
      <w:r>
        <w:rPr>
          <w:spacing w:val="-4"/>
          <w:sz w:val="24"/>
        </w:rPr>
        <w:t> </w:t>
      </w:r>
      <w:r>
        <w:rPr>
          <w:sz w:val="24"/>
        </w:rPr>
        <w:t>le</w:t>
      </w:r>
      <w:r>
        <w:rPr>
          <w:spacing w:val="-5"/>
          <w:sz w:val="24"/>
        </w:rPr>
        <w:t> </w:t>
      </w:r>
      <w:r>
        <w:rPr>
          <w:sz w:val="24"/>
        </w:rPr>
        <w:t>plan</w:t>
      </w:r>
      <w:r>
        <w:rPr>
          <w:spacing w:val="-4"/>
          <w:sz w:val="24"/>
        </w:rPr>
        <w:t> </w:t>
      </w:r>
      <w:r>
        <w:rPr>
          <w:sz w:val="24"/>
        </w:rPr>
        <w:t>conceptuel.</w:t>
      </w:r>
      <w:r>
        <w:rPr>
          <w:spacing w:val="-4"/>
          <w:sz w:val="24"/>
        </w:rPr>
        <w:t> </w:t>
      </w:r>
      <w:r>
        <w:rPr>
          <w:sz w:val="24"/>
        </w:rPr>
        <w:t>Ainsi,</w:t>
      </w:r>
      <w:r>
        <w:rPr>
          <w:spacing w:val="-4"/>
          <w:sz w:val="24"/>
        </w:rPr>
        <w:t> </w:t>
      </w:r>
      <w:r>
        <w:rPr>
          <w:sz w:val="24"/>
        </w:rPr>
        <w:t>dans</w:t>
      </w:r>
      <w:r>
        <w:rPr>
          <w:spacing w:val="-4"/>
          <w:sz w:val="24"/>
        </w:rPr>
        <w:t> </w:t>
      </w:r>
      <w:r>
        <w:rPr>
          <w:sz w:val="24"/>
        </w:rPr>
        <w:t>la</w:t>
      </w:r>
      <w:r>
        <w:rPr>
          <w:spacing w:val="-8"/>
          <w:sz w:val="24"/>
        </w:rPr>
        <w:t> </w:t>
      </w:r>
      <w:r>
        <w:rPr>
          <w:sz w:val="24"/>
        </w:rPr>
        <w:t>marque</w:t>
      </w:r>
      <w:r>
        <w:rPr>
          <w:spacing w:val="-5"/>
          <w:sz w:val="24"/>
        </w:rPr>
        <w:t> </w:t>
      </w:r>
      <w:r>
        <w:rPr>
          <w:sz w:val="24"/>
        </w:rPr>
        <w:t>antérieure,</w:t>
      </w:r>
      <w:r>
        <w:rPr>
          <w:spacing w:val="-4"/>
          <w:sz w:val="24"/>
        </w:rPr>
        <w:t> </w:t>
      </w:r>
      <w:r>
        <w:rPr>
          <w:sz w:val="24"/>
        </w:rPr>
        <w:t>la</w:t>
      </w:r>
      <w:r>
        <w:rPr>
          <w:spacing w:val="-4"/>
          <w:sz w:val="24"/>
        </w:rPr>
        <w:t> </w:t>
      </w:r>
      <w:r>
        <w:rPr>
          <w:sz w:val="24"/>
        </w:rPr>
        <w:t>signification</w:t>
      </w:r>
      <w:r>
        <w:rPr>
          <w:spacing w:val="-4"/>
          <w:sz w:val="24"/>
        </w:rPr>
        <w:t> </w:t>
      </w:r>
      <w:r>
        <w:rPr>
          <w:sz w:val="24"/>
        </w:rPr>
        <w:t>est</w:t>
      </w:r>
      <w:r>
        <w:rPr>
          <w:spacing w:val="-6"/>
          <w:sz w:val="24"/>
        </w:rPr>
        <w:t> </w:t>
      </w:r>
      <w:r>
        <w:rPr>
          <w:sz w:val="24"/>
        </w:rPr>
        <w:t>véhiculée par le chiffre «5», utilisé comme moyen de désigner une chose ou de l’identifier par le numéro qui lui a été attribué.</w:t>
      </w:r>
    </w:p>
    <w:p>
      <w:pPr>
        <w:pStyle w:val="ListParagraph"/>
        <w:numPr>
          <w:ilvl w:val="0"/>
          <w:numId w:val="4"/>
        </w:numPr>
        <w:tabs>
          <w:tab w:pos="1015" w:val="left" w:leader="none"/>
          <w:tab w:pos="1017" w:val="left" w:leader="none"/>
        </w:tabs>
        <w:spacing w:line="240" w:lineRule="auto" w:before="239" w:after="0"/>
        <w:ind w:left="1017" w:right="161" w:hanging="428"/>
        <w:jc w:val="both"/>
        <w:rPr>
          <w:sz w:val="24"/>
        </w:rPr>
      </w:pPr>
      <w:r>
        <w:rPr>
          <w:sz w:val="24"/>
        </w:rPr>
        <w:t>En revanche, quelle que soit la perception que le public pertinent attache à l’élément graphique</w:t>
      </w:r>
      <w:r>
        <w:rPr>
          <w:spacing w:val="-11"/>
          <w:sz w:val="24"/>
        </w:rPr>
        <w:t> </w:t>
      </w:r>
      <w:r>
        <w:rPr>
          <w:sz w:val="24"/>
        </w:rPr>
        <w:t>additionnel</w:t>
      </w:r>
      <w:r>
        <w:rPr>
          <w:spacing w:val="-11"/>
          <w:sz w:val="24"/>
        </w:rPr>
        <w:t> </w:t>
      </w:r>
      <w:r>
        <w:rPr>
          <w:sz w:val="24"/>
        </w:rPr>
        <w:t>du</w:t>
      </w:r>
      <w:r>
        <w:rPr>
          <w:spacing w:val="-8"/>
          <w:sz w:val="24"/>
        </w:rPr>
        <w:t> </w:t>
      </w:r>
      <w:r>
        <w:rPr>
          <w:sz w:val="24"/>
        </w:rPr>
        <w:t>signe</w:t>
      </w:r>
      <w:r>
        <w:rPr>
          <w:spacing w:val="-12"/>
          <w:sz w:val="24"/>
        </w:rPr>
        <w:t> </w:t>
      </w:r>
      <w:r>
        <w:rPr>
          <w:sz w:val="24"/>
        </w:rPr>
        <w:t>contesté,</w:t>
      </w:r>
      <w:r>
        <w:rPr>
          <w:spacing w:val="-11"/>
          <w:sz w:val="24"/>
        </w:rPr>
        <w:t> </w:t>
      </w:r>
      <w:r>
        <w:rPr>
          <w:sz w:val="24"/>
        </w:rPr>
        <w:t>cet</w:t>
      </w:r>
      <w:r>
        <w:rPr>
          <w:spacing w:val="-8"/>
          <w:sz w:val="24"/>
        </w:rPr>
        <w:t> </w:t>
      </w:r>
      <w:r>
        <w:rPr>
          <w:sz w:val="24"/>
        </w:rPr>
        <w:t>élément</w:t>
      </w:r>
      <w:r>
        <w:rPr>
          <w:spacing w:val="-10"/>
          <w:sz w:val="24"/>
        </w:rPr>
        <w:t> </w:t>
      </w:r>
      <w:r>
        <w:rPr>
          <w:sz w:val="24"/>
        </w:rPr>
        <w:t>est,</w:t>
      </w:r>
      <w:r>
        <w:rPr>
          <w:spacing w:val="-10"/>
          <w:sz w:val="24"/>
        </w:rPr>
        <w:t> </w:t>
      </w:r>
      <w:r>
        <w:rPr>
          <w:sz w:val="24"/>
        </w:rPr>
        <w:t>en</w:t>
      </w:r>
      <w:r>
        <w:rPr>
          <w:spacing w:val="-11"/>
          <w:sz w:val="24"/>
        </w:rPr>
        <w:t> </w:t>
      </w:r>
      <w:r>
        <w:rPr>
          <w:sz w:val="24"/>
        </w:rPr>
        <w:t>association</w:t>
      </w:r>
      <w:r>
        <w:rPr>
          <w:spacing w:val="-11"/>
          <w:sz w:val="24"/>
        </w:rPr>
        <w:t> </w:t>
      </w:r>
      <w:r>
        <w:rPr>
          <w:sz w:val="24"/>
        </w:rPr>
        <w:t>avec</w:t>
      </w:r>
      <w:r>
        <w:rPr>
          <w:spacing w:val="-12"/>
          <w:sz w:val="24"/>
        </w:rPr>
        <w:t> </w:t>
      </w:r>
      <w:r>
        <w:rPr>
          <w:sz w:val="24"/>
        </w:rPr>
        <w:t>le</w:t>
      </w:r>
      <w:r>
        <w:rPr>
          <w:spacing w:val="-11"/>
          <w:sz w:val="24"/>
        </w:rPr>
        <w:t> </w:t>
      </w:r>
      <w:r>
        <w:rPr>
          <w:sz w:val="24"/>
        </w:rPr>
        <w:t>chiffre</w:t>
      </w:r>
    </w:p>
    <w:p>
      <w:pPr>
        <w:pStyle w:val="BodyText"/>
        <w:ind w:left="1017"/>
      </w:pPr>
      <w:r>
        <w:rPr/>
        <w:t>«5»,</w:t>
      </w:r>
      <w:r>
        <w:rPr>
          <w:spacing w:val="32"/>
        </w:rPr>
        <w:t> </w:t>
      </w:r>
      <w:r>
        <w:rPr/>
        <w:t>dépourvu</w:t>
      </w:r>
      <w:r>
        <w:rPr>
          <w:spacing w:val="32"/>
        </w:rPr>
        <w:t> </w:t>
      </w:r>
      <w:r>
        <w:rPr/>
        <w:t>en</w:t>
      </w:r>
      <w:r>
        <w:rPr>
          <w:spacing w:val="30"/>
        </w:rPr>
        <w:t> </w:t>
      </w:r>
      <w:r>
        <w:rPr/>
        <w:t>soi</w:t>
      </w:r>
      <w:r>
        <w:rPr>
          <w:spacing w:val="31"/>
        </w:rPr>
        <w:t> </w:t>
      </w:r>
      <w:r>
        <w:rPr/>
        <w:t>de</w:t>
      </w:r>
      <w:r>
        <w:rPr>
          <w:spacing w:val="31"/>
        </w:rPr>
        <w:t> </w:t>
      </w:r>
      <w:r>
        <w:rPr/>
        <w:t>toute</w:t>
      </w:r>
      <w:r>
        <w:rPr>
          <w:spacing w:val="29"/>
        </w:rPr>
        <w:t> </w:t>
      </w:r>
      <w:r>
        <w:rPr/>
        <w:t>signification</w:t>
      </w:r>
      <w:r>
        <w:rPr>
          <w:spacing w:val="30"/>
        </w:rPr>
        <w:t> </w:t>
      </w:r>
      <w:r>
        <w:rPr/>
        <w:t>particulière</w:t>
      </w:r>
      <w:r>
        <w:rPr>
          <w:spacing w:val="31"/>
        </w:rPr>
        <w:t> </w:t>
      </w:r>
      <w:r>
        <w:rPr/>
        <w:t>et</w:t>
      </w:r>
      <w:r>
        <w:rPr>
          <w:spacing w:val="30"/>
        </w:rPr>
        <w:t> </w:t>
      </w:r>
      <w:r>
        <w:rPr/>
        <w:t>donc</w:t>
      </w:r>
      <w:r>
        <w:rPr>
          <w:spacing w:val="29"/>
        </w:rPr>
        <w:t> </w:t>
      </w:r>
      <w:r>
        <w:rPr/>
        <w:t>neutre</w:t>
      </w:r>
      <w:r>
        <w:rPr>
          <w:spacing w:val="31"/>
        </w:rPr>
        <w:t> </w:t>
      </w:r>
      <w:r>
        <w:rPr/>
        <w:t>sur</w:t>
      </w:r>
      <w:r>
        <w:rPr>
          <w:spacing w:val="29"/>
        </w:rPr>
        <w:t> </w:t>
      </w:r>
      <w:r>
        <w:rPr/>
        <w:t>le</w:t>
      </w:r>
      <w:r>
        <w:rPr>
          <w:spacing w:val="29"/>
        </w:rPr>
        <w:t> </w:t>
      </w:r>
      <w:r>
        <w:rPr/>
        <w:t>plan conceptuel. Le signe est donc perçu comme un chiffre stylisé «5».</w:t>
      </w:r>
    </w:p>
    <w:p>
      <w:pPr>
        <w:pStyle w:val="ListParagraph"/>
        <w:numPr>
          <w:ilvl w:val="0"/>
          <w:numId w:val="4"/>
        </w:numPr>
        <w:tabs>
          <w:tab w:pos="1015" w:val="left" w:leader="none"/>
          <w:tab w:pos="1017" w:val="left" w:leader="none"/>
        </w:tabs>
        <w:spacing w:line="240" w:lineRule="auto" w:before="239" w:after="0"/>
        <w:ind w:left="1017" w:right="169" w:hanging="428"/>
        <w:jc w:val="both"/>
        <w:rPr>
          <w:sz w:val="24"/>
        </w:rPr>
      </w:pPr>
      <w:r>
        <w:rPr>
          <w:sz w:val="24"/>
        </w:rPr>
        <w:t>Il s’ensuit que, sur le plan conceptuel, les signes sont identiques ou fortement </w:t>
      </w:r>
      <w:r>
        <w:rPr>
          <w:spacing w:val="-2"/>
          <w:sz w:val="24"/>
        </w:rPr>
        <w:t>similaires.</w:t>
      </w:r>
    </w:p>
    <w:p>
      <w:pPr>
        <w:pStyle w:val="ListParagraph"/>
        <w:numPr>
          <w:ilvl w:val="0"/>
          <w:numId w:val="4"/>
        </w:numPr>
        <w:tabs>
          <w:tab w:pos="1015" w:val="left" w:leader="none"/>
          <w:tab w:pos="1017" w:val="left" w:leader="none"/>
        </w:tabs>
        <w:spacing w:line="240" w:lineRule="auto" w:before="239" w:after="0"/>
        <w:ind w:left="1017" w:right="165" w:hanging="428"/>
        <w:jc w:val="both"/>
        <w:rPr>
          <w:sz w:val="24"/>
        </w:rPr>
      </w:pPr>
      <w:r>
        <w:rPr>
          <w:sz w:val="24"/>
        </w:rPr>
        <w:t>Il</w:t>
      </w:r>
      <w:r>
        <w:rPr>
          <w:spacing w:val="-15"/>
          <w:sz w:val="24"/>
        </w:rPr>
        <w:t> </w:t>
      </w:r>
      <w:r>
        <w:rPr>
          <w:sz w:val="24"/>
        </w:rPr>
        <w:t>résulte</w:t>
      </w:r>
      <w:r>
        <w:rPr>
          <w:spacing w:val="-14"/>
          <w:sz w:val="24"/>
        </w:rPr>
        <w:t> </w:t>
      </w:r>
      <w:r>
        <w:rPr>
          <w:sz w:val="24"/>
        </w:rPr>
        <w:t>de</w:t>
      </w:r>
      <w:r>
        <w:rPr>
          <w:spacing w:val="-12"/>
          <w:sz w:val="24"/>
        </w:rPr>
        <w:t> </w:t>
      </w:r>
      <w:r>
        <w:rPr>
          <w:sz w:val="24"/>
        </w:rPr>
        <w:t>ce</w:t>
      </w:r>
      <w:r>
        <w:rPr>
          <w:spacing w:val="-14"/>
          <w:sz w:val="24"/>
        </w:rPr>
        <w:t> </w:t>
      </w:r>
      <w:r>
        <w:rPr>
          <w:sz w:val="24"/>
        </w:rPr>
        <w:t>qui</w:t>
      </w:r>
      <w:r>
        <w:rPr>
          <w:spacing w:val="-13"/>
          <w:sz w:val="24"/>
        </w:rPr>
        <w:t> </w:t>
      </w:r>
      <w:r>
        <w:rPr>
          <w:sz w:val="24"/>
        </w:rPr>
        <w:t>précède</w:t>
      </w:r>
      <w:r>
        <w:rPr>
          <w:spacing w:val="-14"/>
          <w:sz w:val="24"/>
        </w:rPr>
        <w:t> </w:t>
      </w:r>
      <w:r>
        <w:rPr>
          <w:sz w:val="24"/>
        </w:rPr>
        <w:t>que</w:t>
      </w:r>
      <w:r>
        <w:rPr>
          <w:spacing w:val="-14"/>
          <w:sz w:val="24"/>
        </w:rPr>
        <w:t> </w:t>
      </w:r>
      <w:r>
        <w:rPr>
          <w:sz w:val="24"/>
        </w:rPr>
        <w:t>les</w:t>
      </w:r>
      <w:r>
        <w:rPr>
          <w:spacing w:val="-13"/>
          <w:sz w:val="24"/>
        </w:rPr>
        <w:t> </w:t>
      </w:r>
      <w:r>
        <w:rPr>
          <w:sz w:val="24"/>
        </w:rPr>
        <w:t>signes</w:t>
      </w:r>
      <w:r>
        <w:rPr>
          <w:spacing w:val="-10"/>
          <w:sz w:val="24"/>
        </w:rPr>
        <w:t> </w:t>
      </w:r>
      <w:r>
        <w:rPr>
          <w:b/>
          <w:sz w:val="28"/>
        </w:rPr>
        <w:t>no</w:t>
      </w:r>
      <w:r>
        <w:rPr>
          <w:b/>
          <w:spacing w:val="-15"/>
          <w:sz w:val="28"/>
        </w:rPr>
        <w:t> </w:t>
      </w:r>
      <w:r>
        <w:rPr>
          <w:b/>
          <w:sz w:val="28"/>
        </w:rPr>
        <w:t>5</w:t>
      </w:r>
      <w:r>
        <w:rPr>
          <w:b/>
          <w:spacing w:val="-18"/>
          <w:sz w:val="28"/>
        </w:rPr>
        <w:t> </w:t>
      </w:r>
      <w:r>
        <w:rPr>
          <w:sz w:val="24"/>
        </w:rPr>
        <w:t>et</w:t>
      </w:r>
      <w:r>
        <w:rPr>
          <w:spacing w:val="-13"/>
          <w:sz w:val="24"/>
        </w:rPr>
        <w:t> </w:t>
      </w:r>
      <w:r>
        <w:rPr>
          <w:spacing w:val="-11"/>
          <w:sz w:val="24"/>
        </w:rPr>
        <w:drawing>
          <wp:inline distT="0" distB="0" distL="0" distR="0">
            <wp:extent cx="186029" cy="278129"/>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7" cstate="print"/>
                    <a:stretch>
                      <a:fillRect/>
                    </a:stretch>
                  </pic:blipFill>
                  <pic:spPr>
                    <a:xfrm>
                      <a:off x="0" y="0"/>
                      <a:ext cx="186029" cy="278129"/>
                    </a:xfrm>
                    <a:prstGeom prst="rect">
                      <a:avLst/>
                    </a:prstGeom>
                  </pic:spPr>
                </pic:pic>
              </a:graphicData>
            </a:graphic>
          </wp:inline>
        </w:drawing>
      </w:r>
      <w:r>
        <w:rPr>
          <w:spacing w:val="-11"/>
          <w:sz w:val="24"/>
        </w:rPr>
      </w:r>
      <w:r>
        <w:rPr>
          <w:spacing w:val="-1"/>
          <w:sz w:val="24"/>
        </w:rPr>
        <w:t> </w:t>
      </w:r>
      <w:r>
        <w:rPr>
          <w:sz w:val="24"/>
        </w:rPr>
        <w:t>sont</w:t>
      </w:r>
      <w:r>
        <w:rPr>
          <w:spacing w:val="-13"/>
          <w:sz w:val="24"/>
        </w:rPr>
        <w:t> </w:t>
      </w:r>
      <w:r>
        <w:rPr>
          <w:sz w:val="24"/>
        </w:rPr>
        <w:t>similaires</w:t>
      </w:r>
      <w:r>
        <w:rPr>
          <w:spacing w:val="-13"/>
          <w:sz w:val="24"/>
        </w:rPr>
        <w:t> </w:t>
      </w:r>
      <w:r>
        <w:rPr>
          <w:sz w:val="24"/>
        </w:rPr>
        <w:t>à</w:t>
      </w:r>
      <w:r>
        <w:rPr>
          <w:spacing w:val="-14"/>
          <w:sz w:val="24"/>
        </w:rPr>
        <w:t> </w:t>
      </w:r>
      <w:r>
        <w:rPr>
          <w:sz w:val="24"/>
        </w:rPr>
        <w:t>un</w:t>
      </w:r>
      <w:r>
        <w:rPr>
          <w:spacing w:val="-13"/>
          <w:sz w:val="24"/>
        </w:rPr>
        <w:t> </w:t>
      </w:r>
      <w:r>
        <w:rPr>
          <w:sz w:val="24"/>
        </w:rPr>
        <w:t>degré</w:t>
      </w:r>
      <w:r>
        <w:rPr>
          <w:spacing w:val="-12"/>
          <w:sz w:val="24"/>
        </w:rPr>
        <w:t> </w:t>
      </w:r>
      <w:r>
        <w:rPr>
          <w:sz w:val="24"/>
        </w:rPr>
        <w:t>moyen sur le plan visuel, similaires à un degré moyen sur le plan phonétique, identiques ou similaires à un degré élevé sur le plan conceptuel. Dans l’ensemble, les signes sont globalement similaires à un degré à tout le moins moyen.</w:t>
      </w:r>
    </w:p>
    <w:p>
      <w:pPr>
        <w:pStyle w:val="BodyText"/>
        <w:rPr>
          <w:sz w:val="18"/>
        </w:rPr>
      </w:pPr>
    </w:p>
    <w:p>
      <w:pPr>
        <w:pStyle w:val="BodyText"/>
        <w:spacing w:before="1"/>
        <w:rPr>
          <w:sz w:val="18"/>
        </w:rPr>
      </w:pPr>
    </w:p>
    <w:p>
      <w:pPr>
        <w:spacing w:before="0"/>
        <w:ind w:left="2737" w:right="2738" w:firstLine="0"/>
        <w:jc w:val="center"/>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p>
      <w:pPr>
        <w:spacing w:after="0"/>
        <w:jc w:val="center"/>
        <w:rPr>
          <w:sz w:val="18"/>
        </w:rPr>
        <w:sectPr>
          <w:pgSz w:w="11910" w:h="16840"/>
          <w:pgMar w:header="970" w:footer="0" w:top="1180" w:bottom="280" w:left="1275" w:right="1275"/>
        </w:sectPr>
      </w:pPr>
    </w:p>
    <w:p>
      <w:pPr>
        <w:pStyle w:val="ListParagraph"/>
        <w:numPr>
          <w:ilvl w:val="0"/>
          <w:numId w:val="4"/>
        </w:numPr>
        <w:tabs>
          <w:tab w:pos="1015" w:val="left" w:leader="none"/>
          <w:tab w:pos="1017" w:val="left" w:leader="none"/>
        </w:tabs>
        <w:spacing w:line="240" w:lineRule="auto" w:before="249" w:after="0"/>
        <w:ind w:left="1017" w:right="166" w:hanging="428"/>
        <w:jc w:val="both"/>
        <w:rPr>
          <w:sz w:val="24"/>
        </w:rPr>
      </w:pPr>
      <w:r>
        <w:rPr>
          <w:sz w:val="24"/>
        </w:rPr>
        <mc:AlternateContent>
          <mc:Choice Requires="wps">
            <w:drawing>
              <wp:anchor distT="0" distB="0" distL="0" distR="0" allowOverlap="1" layoutInCell="1" locked="0" behindDoc="0" simplePos="0" relativeHeight="15738368">
                <wp:simplePos x="0" y="0"/>
                <wp:positionH relativeFrom="page">
                  <wp:posOffset>270575</wp:posOffset>
                </wp:positionH>
                <wp:positionV relativeFrom="page">
                  <wp:posOffset>1114363</wp:posOffset>
                </wp:positionV>
                <wp:extent cx="146050" cy="921004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146050" cy="9210040"/>
                        </a:xfrm>
                        <a:prstGeom prst="rect">
                          <a:avLst/>
                        </a:prstGeom>
                      </wps:spPr>
                      <wps:txbx>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wps:txbx>
                      <wps:bodyPr wrap="square" lIns="0" tIns="0" rIns="0" bIns="0" rtlCol="0" vert="vert270">
                        <a:noAutofit/>
                      </wps:bodyPr>
                    </wps:wsp>
                  </a:graphicData>
                </a:graphic>
              </wp:anchor>
            </w:drawing>
          </mc:Choice>
          <mc:Fallback>
            <w:pict>
              <v:shape style="position:absolute;margin-left:21.305176pt;margin-top:87.745193pt;width:11.5pt;height:725.2pt;mso-position-horizontal-relative:page;mso-position-vertical-relative:page;z-index:15738368" type="#_x0000_t202" id="docshape18" filled="false" stroked="false">
                <v:textbox inset="0,0,0,0" style="layout-flow:vertical;mso-layout-flow-alt:bottom-to-top">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v:textbox>
                <w10:wrap type="none"/>
              </v:shape>
            </w:pict>
          </mc:Fallback>
        </mc:AlternateContent>
      </w:r>
      <w:r>
        <w:rPr>
          <w:sz w:val="24"/>
        </w:rPr>
        <w:t>Dans le cadre de l’appréciation globale, la division d’opposition n’a pas examiné si l’identité des produits, telle qu’acceptée, pouvait compenser la similitude des signes en cause, qu’elle a jugée insuffisante.</w:t>
      </w:r>
    </w:p>
    <w:p>
      <w:pPr>
        <w:pStyle w:val="ListParagraph"/>
        <w:numPr>
          <w:ilvl w:val="0"/>
          <w:numId w:val="4"/>
        </w:numPr>
        <w:tabs>
          <w:tab w:pos="1015" w:val="left" w:leader="none"/>
          <w:tab w:pos="1017" w:val="left" w:leader="none"/>
        </w:tabs>
        <w:spacing w:line="240" w:lineRule="auto" w:before="238" w:after="0"/>
        <w:ind w:left="1017" w:right="160" w:hanging="428"/>
        <w:jc w:val="both"/>
        <w:rPr>
          <w:sz w:val="24"/>
        </w:rPr>
      </w:pPr>
      <w:r>
        <w:rPr>
          <w:sz w:val="24"/>
        </w:rPr>
        <w:t>L’identité</w:t>
      </w:r>
      <w:r>
        <w:rPr>
          <w:spacing w:val="-12"/>
          <w:sz w:val="24"/>
        </w:rPr>
        <w:t> </w:t>
      </w:r>
      <w:r>
        <w:rPr>
          <w:sz w:val="24"/>
        </w:rPr>
        <w:t>stricte</w:t>
      </w:r>
      <w:r>
        <w:rPr>
          <w:spacing w:val="-13"/>
          <w:sz w:val="24"/>
        </w:rPr>
        <w:t> </w:t>
      </w:r>
      <w:r>
        <w:rPr>
          <w:sz w:val="24"/>
        </w:rPr>
        <w:t>des</w:t>
      </w:r>
      <w:r>
        <w:rPr>
          <w:spacing w:val="-11"/>
          <w:sz w:val="24"/>
        </w:rPr>
        <w:t> </w:t>
      </w:r>
      <w:r>
        <w:rPr>
          <w:sz w:val="24"/>
        </w:rPr>
        <w:t>produits</w:t>
      </w:r>
      <w:r>
        <w:rPr>
          <w:spacing w:val="-11"/>
          <w:sz w:val="24"/>
        </w:rPr>
        <w:t> </w:t>
      </w:r>
      <w:r>
        <w:rPr>
          <w:sz w:val="24"/>
        </w:rPr>
        <w:t>compense</w:t>
      </w:r>
      <w:r>
        <w:rPr>
          <w:spacing w:val="-13"/>
          <w:sz w:val="24"/>
        </w:rPr>
        <w:t> </w:t>
      </w:r>
      <w:r>
        <w:rPr>
          <w:sz w:val="24"/>
        </w:rPr>
        <w:t>nécessairement</w:t>
      </w:r>
      <w:r>
        <w:rPr>
          <w:spacing w:val="-12"/>
          <w:sz w:val="24"/>
        </w:rPr>
        <w:t> </w:t>
      </w:r>
      <w:r>
        <w:rPr>
          <w:sz w:val="24"/>
        </w:rPr>
        <w:t>une</w:t>
      </w:r>
      <w:r>
        <w:rPr>
          <w:spacing w:val="-13"/>
          <w:sz w:val="24"/>
        </w:rPr>
        <w:t> </w:t>
      </w:r>
      <w:r>
        <w:rPr>
          <w:sz w:val="24"/>
        </w:rPr>
        <w:t>similitude</w:t>
      </w:r>
      <w:r>
        <w:rPr>
          <w:spacing w:val="-13"/>
          <w:sz w:val="24"/>
        </w:rPr>
        <w:t> </w:t>
      </w:r>
      <w:r>
        <w:rPr>
          <w:sz w:val="24"/>
        </w:rPr>
        <w:t>des</w:t>
      </w:r>
      <w:r>
        <w:rPr>
          <w:spacing w:val="-11"/>
          <w:sz w:val="24"/>
        </w:rPr>
        <w:t> </w:t>
      </w:r>
      <w:r>
        <w:rPr>
          <w:sz w:val="24"/>
        </w:rPr>
        <w:t>signes</w:t>
      </w:r>
      <w:r>
        <w:rPr>
          <w:spacing w:val="-11"/>
          <w:sz w:val="24"/>
        </w:rPr>
        <w:t> </w:t>
      </w:r>
      <w:r>
        <w:rPr>
          <w:sz w:val="24"/>
        </w:rPr>
        <w:t>qui, malgré</w:t>
      </w:r>
      <w:r>
        <w:rPr>
          <w:spacing w:val="-6"/>
          <w:sz w:val="24"/>
        </w:rPr>
        <w:t> </w:t>
      </w:r>
      <w:r>
        <w:rPr>
          <w:sz w:val="24"/>
        </w:rPr>
        <w:t>ce</w:t>
      </w:r>
      <w:r>
        <w:rPr>
          <w:spacing w:val="-6"/>
          <w:sz w:val="24"/>
        </w:rPr>
        <w:t> </w:t>
      </w:r>
      <w:r>
        <w:rPr>
          <w:sz w:val="24"/>
        </w:rPr>
        <w:t>qui</w:t>
      </w:r>
      <w:r>
        <w:rPr>
          <w:spacing w:val="-3"/>
          <w:sz w:val="24"/>
        </w:rPr>
        <w:t> </w:t>
      </w:r>
      <w:r>
        <w:rPr>
          <w:sz w:val="24"/>
        </w:rPr>
        <w:t>a</w:t>
      </w:r>
      <w:r>
        <w:rPr>
          <w:spacing w:val="-5"/>
          <w:sz w:val="24"/>
        </w:rPr>
        <w:t> </w:t>
      </w:r>
      <w:r>
        <w:rPr>
          <w:sz w:val="24"/>
        </w:rPr>
        <w:t>été</w:t>
      </w:r>
      <w:r>
        <w:rPr>
          <w:spacing w:val="-6"/>
          <w:sz w:val="24"/>
        </w:rPr>
        <w:t> </w:t>
      </w:r>
      <w:r>
        <w:rPr>
          <w:sz w:val="24"/>
        </w:rPr>
        <w:t>démontré,</w:t>
      </w:r>
      <w:r>
        <w:rPr>
          <w:spacing w:val="-5"/>
          <w:sz w:val="24"/>
        </w:rPr>
        <w:t> </w:t>
      </w:r>
      <w:r>
        <w:rPr>
          <w:sz w:val="24"/>
        </w:rPr>
        <w:t>ne</w:t>
      </w:r>
      <w:r>
        <w:rPr>
          <w:spacing w:val="-5"/>
          <w:sz w:val="24"/>
        </w:rPr>
        <w:t> </w:t>
      </w:r>
      <w:r>
        <w:rPr>
          <w:sz w:val="24"/>
        </w:rPr>
        <w:t>serait</w:t>
      </w:r>
      <w:r>
        <w:rPr>
          <w:spacing w:val="-5"/>
          <w:sz w:val="24"/>
        </w:rPr>
        <w:t> </w:t>
      </w:r>
      <w:r>
        <w:rPr>
          <w:sz w:val="24"/>
        </w:rPr>
        <w:t>considérée</w:t>
      </w:r>
      <w:r>
        <w:rPr>
          <w:spacing w:val="-4"/>
          <w:sz w:val="24"/>
        </w:rPr>
        <w:t> </w:t>
      </w:r>
      <w:r>
        <w:rPr>
          <w:sz w:val="24"/>
        </w:rPr>
        <w:t>que</w:t>
      </w:r>
      <w:r>
        <w:rPr>
          <w:spacing w:val="-6"/>
          <w:sz w:val="24"/>
        </w:rPr>
        <w:t> </w:t>
      </w:r>
      <w:r>
        <w:rPr>
          <w:sz w:val="24"/>
        </w:rPr>
        <w:t>comme</w:t>
      </w:r>
      <w:r>
        <w:rPr>
          <w:spacing w:val="-6"/>
          <w:sz w:val="24"/>
        </w:rPr>
        <w:t> </w:t>
      </w:r>
      <w:r>
        <w:rPr>
          <w:sz w:val="24"/>
        </w:rPr>
        <w:t>moyenne</w:t>
      </w:r>
      <w:r>
        <w:rPr>
          <w:spacing w:val="-6"/>
          <w:sz w:val="24"/>
        </w:rPr>
        <w:t> </w:t>
      </w:r>
      <w:r>
        <w:rPr>
          <w:sz w:val="24"/>
        </w:rPr>
        <w:t>ou inférieure</w:t>
      </w:r>
    </w:p>
    <w:p>
      <w:pPr>
        <w:pStyle w:val="BodyText"/>
        <w:spacing w:before="74"/>
        <w:ind w:left="1017"/>
        <w:jc w:val="both"/>
      </w:pPr>
      <w:r>
        <w:rPr/>
        <w:drawing>
          <wp:anchor distT="0" distB="0" distL="0" distR="0" allowOverlap="1" layoutInCell="1" locked="0" behindDoc="1" simplePos="0" relativeHeight="487063552">
            <wp:simplePos x="0" y="0"/>
            <wp:positionH relativeFrom="page">
              <wp:posOffset>3330512</wp:posOffset>
            </wp:positionH>
            <wp:positionV relativeFrom="paragraph">
              <wp:posOffset>45477</wp:posOffset>
            </wp:positionV>
            <wp:extent cx="162239" cy="240566"/>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8" cstate="print"/>
                    <a:stretch>
                      <a:fillRect/>
                    </a:stretch>
                  </pic:blipFill>
                  <pic:spPr>
                    <a:xfrm>
                      <a:off x="0" y="0"/>
                      <a:ext cx="162239" cy="240566"/>
                    </a:xfrm>
                    <a:prstGeom prst="rect">
                      <a:avLst/>
                    </a:prstGeom>
                  </pic:spPr>
                </pic:pic>
              </a:graphicData>
            </a:graphic>
          </wp:anchor>
        </w:drawing>
      </w:r>
      <w:r>
        <w:rPr/>
        <w:t>à</w:t>
      </w:r>
      <w:r>
        <w:rPr>
          <w:spacing w:val="-2"/>
        </w:rPr>
        <w:t> </w:t>
      </w:r>
      <w:r>
        <w:rPr/>
        <w:t>la moyenne entre</w:t>
      </w:r>
      <w:r>
        <w:rPr>
          <w:spacing w:val="-2"/>
        </w:rPr>
        <w:t> </w:t>
      </w:r>
      <w:r>
        <w:rPr/>
        <w:t>les</w:t>
      </w:r>
      <w:r>
        <w:rPr>
          <w:spacing w:val="-1"/>
        </w:rPr>
        <w:t> </w:t>
      </w:r>
      <w:r>
        <w:rPr/>
        <w:t>signes</w:t>
      </w:r>
      <w:r>
        <w:rPr>
          <w:spacing w:val="78"/>
        </w:rPr>
        <w:t>    </w:t>
      </w:r>
      <w:r>
        <w:rPr/>
        <w:t>et</w:t>
      </w:r>
      <w:r>
        <w:rPr>
          <w:spacing w:val="-1"/>
        </w:rPr>
        <w:drawing>
          <wp:inline distT="0" distB="0" distL="0" distR="0">
            <wp:extent cx="186029" cy="278129"/>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7" cstate="print"/>
                    <a:stretch>
                      <a:fillRect/>
                    </a:stretch>
                  </pic:blipFill>
                  <pic:spPr>
                    <a:xfrm>
                      <a:off x="0" y="0"/>
                      <a:ext cx="186029" cy="278129"/>
                    </a:xfrm>
                    <a:prstGeom prst="rect">
                      <a:avLst/>
                    </a:prstGeom>
                  </pic:spPr>
                </pic:pic>
              </a:graphicData>
            </a:graphic>
          </wp:inline>
        </w:drawing>
      </w:r>
      <w:r>
        <w:rPr>
          <w:spacing w:val="-1"/>
        </w:rPr>
      </w:r>
      <w:r>
        <w:rPr/>
        <w:t>,</w:t>
      </w:r>
      <w:r>
        <w:rPr>
          <w:spacing w:val="-1"/>
        </w:rPr>
        <w:t> </w:t>
      </w:r>
      <w:r>
        <w:rPr/>
        <w:t>ou entre</w:t>
      </w:r>
      <w:r>
        <w:rPr>
          <w:spacing w:val="-3"/>
        </w:rPr>
        <w:t> </w:t>
      </w:r>
      <w:r>
        <w:rPr/>
        <w:t>les signes</w:t>
      </w:r>
      <w:r>
        <w:rPr>
          <w:spacing w:val="-1"/>
        </w:rPr>
        <w:t> </w:t>
      </w:r>
      <w:r>
        <w:rPr/>
        <w:t>no 5 et</w:t>
      </w:r>
      <w:r>
        <w:rPr/>
        <w:drawing>
          <wp:inline distT="0" distB="0" distL="0" distR="0">
            <wp:extent cx="186029" cy="278129"/>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7" cstate="print"/>
                    <a:stretch>
                      <a:fillRect/>
                    </a:stretch>
                  </pic:blipFill>
                  <pic:spPr>
                    <a:xfrm>
                      <a:off x="0" y="0"/>
                      <a:ext cx="186029" cy="278129"/>
                    </a:xfrm>
                    <a:prstGeom prst="rect">
                      <a:avLst/>
                    </a:prstGeom>
                  </pic:spPr>
                </pic:pic>
              </a:graphicData>
            </a:graphic>
          </wp:inline>
        </w:drawing>
      </w:r>
      <w:r>
        <w:rPr/>
      </w:r>
      <w:r>
        <w:rPr>
          <w:spacing w:val="-10"/>
        </w:rPr>
        <w:t>.</w:t>
      </w:r>
    </w:p>
    <w:p>
      <w:pPr>
        <w:pStyle w:val="BodyText"/>
        <w:spacing w:before="84"/>
      </w:pPr>
    </w:p>
    <w:p>
      <w:pPr>
        <w:spacing w:before="0"/>
        <w:ind w:left="590" w:right="0" w:firstLine="0"/>
        <w:jc w:val="left"/>
        <w:rPr>
          <w:i/>
          <w:sz w:val="24"/>
        </w:rPr>
      </w:pPr>
      <w:r>
        <w:rPr>
          <w:i/>
          <w:sz w:val="24"/>
        </w:rPr>
        <w:t>Caractère</w:t>
      </w:r>
      <w:r>
        <w:rPr>
          <w:i/>
          <w:spacing w:val="-3"/>
          <w:sz w:val="24"/>
        </w:rPr>
        <w:t> </w:t>
      </w:r>
      <w:r>
        <w:rPr>
          <w:i/>
          <w:sz w:val="24"/>
        </w:rPr>
        <w:t>distinctif</w:t>
      </w:r>
      <w:r>
        <w:rPr>
          <w:i/>
          <w:spacing w:val="-1"/>
          <w:sz w:val="24"/>
        </w:rPr>
        <w:t> </w:t>
      </w:r>
      <w:r>
        <w:rPr>
          <w:i/>
          <w:sz w:val="24"/>
        </w:rPr>
        <w:t>accru</w:t>
      </w:r>
      <w:r>
        <w:rPr>
          <w:i/>
          <w:spacing w:val="-1"/>
          <w:sz w:val="24"/>
        </w:rPr>
        <w:t> </w:t>
      </w:r>
      <w:r>
        <w:rPr>
          <w:i/>
          <w:sz w:val="24"/>
        </w:rPr>
        <w:t>des</w:t>
      </w:r>
      <w:r>
        <w:rPr>
          <w:i/>
          <w:spacing w:val="-1"/>
          <w:sz w:val="24"/>
        </w:rPr>
        <w:t> </w:t>
      </w:r>
      <w:r>
        <w:rPr>
          <w:i/>
          <w:sz w:val="24"/>
        </w:rPr>
        <w:t>marques</w:t>
      </w:r>
      <w:r>
        <w:rPr>
          <w:i/>
          <w:spacing w:val="-1"/>
          <w:sz w:val="24"/>
        </w:rPr>
        <w:t> </w:t>
      </w:r>
      <w:r>
        <w:rPr>
          <w:i/>
          <w:spacing w:val="-2"/>
          <w:sz w:val="24"/>
        </w:rPr>
        <w:t>antérieures</w:t>
      </w:r>
    </w:p>
    <w:p>
      <w:pPr>
        <w:pStyle w:val="ListParagraph"/>
        <w:numPr>
          <w:ilvl w:val="0"/>
          <w:numId w:val="4"/>
        </w:numPr>
        <w:tabs>
          <w:tab w:pos="1015" w:val="left" w:leader="none"/>
          <w:tab w:pos="1017" w:val="left" w:leader="none"/>
        </w:tabs>
        <w:spacing w:line="240" w:lineRule="auto" w:before="239" w:after="0"/>
        <w:ind w:left="1017" w:right="165" w:hanging="428"/>
        <w:jc w:val="both"/>
        <w:rPr>
          <w:sz w:val="24"/>
        </w:rPr>
      </w:pPr>
      <w:r>
        <w:rPr>
          <w:sz w:val="24"/>
        </w:rPr>
        <w:t>Il</w:t>
      </w:r>
      <w:r>
        <w:rPr>
          <w:spacing w:val="-10"/>
          <w:sz w:val="24"/>
        </w:rPr>
        <w:t> </w:t>
      </w:r>
      <w:r>
        <w:rPr>
          <w:sz w:val="24"/>
        </w:rPr>
        <w:t>n’est</w:t>
      </w:r>
      <w:r>
        <w:rPr>
          <w:spacing w:val="-10"/>
          <w:sz w:val="24"/>
        </w:rPr>
        <w:t> </w:t>
      </w:r>
      <w:r>
        <w:rPr>
          <w:sz w:val="24"/>
        </w:rPr>
        <w:t>pas</w:t>
      </w:r>
      <w:r>
        <w:rPr>
          <w:spacing w:val="-8"/>
          <w:sz w:val="24"/>
        </w:rPr>
        <w:t> </w:t>
      </w:r>
      <w:r>
        <w:rPr>
          <w:sz w:val="24"/>
        </w:rPr>
        <w:t>contesté</w:t>
      </w:r>
      <w:r>
        <w:rPr>
          <w:spacing w:val="-11"/>
          <w:sz w:val="24"/>
        </w:rPr>
        <w:t> </w:t>
      </w:r>
      <w:r>
        <w:rPr>
          <w:sz w:val="24"/>
        </w:rPr>
        <w:t>que</w:t>
      </w:r>
      <w:r>
        <w:rPr>
          <w:spacing w:val="-12"/>
          <w:sz w:val="24"/>
        </w:rPr>
        <w:t> </w:t>
      </w:r>
      <w:r>
        <w:rPr>
          <w:sz w:val="24"/>
        </w:rPr>
        <w:t>le</w:t>
      </w:r>
      <w:r>
        <w:rPr>
          <w:spacing w:val="-12"/>
          <w:sz w:val="24"/>
        </w:rPr>
        <w:t> </w:t>
      </w:r>
      <w:r>
        <w:rPr>
          <w:sz w:val="24"/>
        </w:rPr>
        <w:t>caractère</w:t>
      </w:r>
      <w:r>
        <w:rPr>
          <w:spacing w:val="-10"/>
          <w:sz w:val="24"/>
        </w:rPr>
        <w:t> </w:t>
      </w:r>
      <w:r>
        <w:rPr>
          <w:sz w:val="24"/>
        </w:rPr>
        <w:t>distinctif</w:t>
      </w:r>
      <w:r>
        <w:rPr>
          <w:spacing w:val="-11"/>
          <w:sz w:val="24"/>
        </w:rPr>
        <w:t> </w:t>
      </w:r>
      <w:r>
        <w:rPr>
          <w:sz w:val="24"/>
        </w:rPr>
        <w:t>intrinsèque</w:t>
      </w:r>
      <w:r>
        <w:rPr>
          <w:spacing w:val="-12"/>
          <w:sz w:val="24"/>
        </w:rPr>
        <w:t> </w:t>
      </w:r>
      <w:r>
        <w:rPr>
          <w:sz w:val="24"/>
        </w:rPr>
        <w:t>des</w:t>
      </w:r>
      <w:r>
        <w:rPr>
          <w:spacing w:val="-10"/>
          <w:sz w:val="24"/>
        </w:rPr>
        <w:t> </w:t>
      </w:r>
      <w:r>
        <w:rPr>
          <w:sz w:val="24"/>
        </w:rPr>
        <w:t>marques</w:t>
      </w:r>
      <w:r>
        <w:rPr>
          <w:spacing w:val="-8"/>
          <w:sz w:val="24"/>
        </w:rPr>
        <w:t> </w:t>
      </w:r>
      <w:r>
        <w:rPr>
          <w:sz w:val="24"/>
        </w:rPr>
        <w:t>antérieures</w:t>
      </w:r>
      <w:r>
        <w:rPr>
          <w:spacing w:val="-10"/>
          <w:sz w:val="24"/>
        </w:rPr>
        <w:t> </w:t>
      </w:r>
      <w:r>
        <w:rPr>
          <w:sz w:val="24"/>
        </w:rPr>
        <w:t>est, à tout le moins, normal.</w:t>
      </w:r>
    </w:p>
    <w:p>
      <w:pPr>
        <w:pStyle w:val="ListParagraph"/>
        <w:numPr>
          <w:ilvl w:val="0"/>
          <w:numId w:val="4"/>
        </w:numPr>
        <w:tabs>
          <w:tab w:pos="1015" w:val="left" w:leader="none"/>
          <w:tab w:pos="1017" w:val="left" w:leader="none"/>
        </w:tabs>
        <w:spacing w:line="240" w:lineRule="auto" w:before="240" w:after="0"/>
        <w:ind w:left="1017" w:right="165" w:hanging="428"/>
        <w:jc w:val="both"/>
        <w:rPr>
          <w:sz w:val="24"/>
        </w:rPr>
      </w:pPr>
      <w:r>
        <w:rPr>
          <w:sz w:val="24"/>
        </w:rPr>
        <w:t>Chanel a fait valoir que, au moment du dépôt de la demande de marque de l’Union européenne contestée (9 mai 2023), les marques antérieures avaient acquis un caractère</w:t>
      </w:r>
      <w:r>
        <w:rPr>
          <w:spacing w:val="-2"/>
          <w:sz w:val="24"/>
        </w:rPr>
        <w:t> </w:t>
      </w:r>
      <w:r>
        <w:rPr>
          <w:sz w:val="24"/>
        </w:rPr>
        <w:t>distinctif</w:t>
      </w:r>
      <w:r>
        <w:rPr>
          <w:spacing w:val="-2"/>
          <w:sz w:val="24"/>
        </w:rPr>
        <w:t> </w:t>
      </w:r>
      <w:r>
        <w:rPr>
          <w:sz w:val="24"/>
        </w:rPr>
        <w:t>accru en</w:t>
      </w:r>
      <w:r>
        <w:rPr>
          <w:spacing w:val="-1"/>
          <w:sz w:val="24"/>
        </w:rPr>
        <w:t> </w:t>
      </w:r>
      <w:r>
        <w:rPr>
          <w:sz w:val="24"/>
        </w:rPr>
        <w:t>raison</w:t>
      </w:r>
      <w:r>
        <w:rPr>
          <w:spacing w:val="-1"/>
          <w:sz w:val="24"/>
        </w:rPr>
        <w:t> </w:t>
      </w:r>
      <w:r>
        <w:rPr>
          <w:sz w:val="24"/>
        </w:rPr>
        <w:t>de</w:t>
      </w:r>
      <w:r>
        <w:rPr>
          <w:spacing w:val="-2"/>
          <w:sz w:val="24"/>
        </w:rPr>
        <w:t> </w:t>
      </w:r>
      <w:r>
        <w:rPr>
          <w:sz w:val="24"/>
        </w:rPr>
        <w:t>leur renommée</w:t>
      </w:r>
      <w:r>
        <w:rPr>
          <w:spacing w:val="-3"/>
          <w:sz w:val="24"/>
        </w:rPr>
        <w:t> </w:t>
      </w:r>
      <w:r>
        <w:rPr>
          <w:sz w:val="24"/>
        </w:rPr>
        <w:t>en raison</w:t>
      </w:r>
      <w:r>
        <w:rPr>
          <w:spacing w:val="-1"/>
          <w:sz w:val="24"/>
        </w:rPr>
        <w:t> </w:t>
      </w:r>
      <w:r>
        <w:rPr>
          <w:sz w:val="24"/>
        </w:rPr>
        <w:t>d’un usage intensif</w:t>
      </w:r>
      <w:r>
        <w:rPr>
          <w:spacing w:val="-1"/>
          <w:sz w:val="24"/>
        </w:rPr>
        <w:t> </w:t>
      </w:r>
      <w:r>
        <w:rPr>
          <w:sz w:val="24"/>
        </w:rPr>
        <w:t>et de longue date en France pour les produits pour lesquels elles sont enregistrées, en particulier des cosmétiques et des produits de parfumerie, et des efforts publicitaires déployés par Chanel pour les promouvoir.</w:t>
      </w:r>
    </w:p>
    <w:p>
      <w:pPr>
        <w:pStyle w:val="ListParagraph"/>
        <w:numPr>
          <w:ilvl w:val="0"/>
          <w:numId w:val="4"/>
        </w:numPr>
        <w:tabs>
          <w:tab w:pos="1015" w:val="left" w:leader="none"/>
          <w:tab w:pos="1017" w:val="left" w:leader="none"/>
        </w:tabs>
        <w:spacing w:line="240" w:lineRule="auto" w:before="239" w:after="0"/>
        <w:ind w:left="1017" w:right="159" w:hanging="428"/>
        <w:jc w:val="both"/>
        <w:rPr>
          <w:sz w:val="24"/>
        </w:rPr>
      </w:pPr>
      <w:r>
        <w:rPr>
          <w:sz w:val="24"/>
        </w:rPr>
        <w:t>En particulier, à cette époque, les marques antérieures étaient connues en France par une partie significative des clients des cosmétiques et de parfumerie.</w:t>
      </w:r>
    </w:p>
    <w:p>
      <w:pPr>
        <w:spacing w:line="636" w:lineRule="exact" w:before="74"/>
        <w:ind w:left="590" w:right="4490" w:firstLine="0"/>
        <w:jc w:val="left"/>
        <w:rPr>
          <w:i/>
          <w:sz w:val="24"/>
        </w:rPr>
      </w:pPr>
      <w:r>
        <w:rPr>
          <w:i/>
          <w:sz w:val="24"/>
        </w:rPr>
        <w:t>Renommée</w:t>
      </w:r>
      <w:r>
        <w:rPr>
          <w:i/>
          <w:spacing w:val="-7"/>
          <w:sz w:val="24"/>
        </w:rPr>
        <w:t> </w:t>
      </w:r>
      <w:r>
        <w:rPr>
          <w:i/>
          <w:sz w:val="24"/>
        </w:rPr>
        <w:t>de</w:t>
      </w:r>
      <w:r>
        <w:rPr>
          <w:i/>
          <w:spacing w:val="-7"/>
          <w:sz w:val="24"/>
        </w:rPr>
        <w:t> </w:t>
      </w:r>
      <w:r>
        <w:rPr>
          <w:i/>
          <w:sz w:val="24"/>
        </w:rPr>
        <w:t>la</w:t>
      </w:r>
      <w:r>
        <w:rPr>
          <w:i/>
          <w:spacing w:val="-6"/>
          <w:sz w:val="24"/>
        </w:rPr>
        <w:t> </w:t>
      </w:r>
      <w:r>
        <w:rPr>
          <w:i/>
          <w:sz w:val="24"/>
        </w:rPr>
        <w:t>marque</w:t>
      </w:r>
      <w:r>
        <w:rPr>
          <w:i/>
          <w:spacing w:val="-5"/>
          <w:sz w:val="24"/>
        </w:rPr>
        <w:t> </w:t>
      </w:r>
      <w:r>
        <w:rPr>
          <w:i/>
          <w:sz w:val="24"/>
        </w:rPr>
        <w:t>antérieure</w:t>
      </w:r>
      <w:r>
        <w:rPr>
          <w:i/>
          <w:spacing w:val="-7"/>
          <w:sz w:val="24"/>
        </w:rPr>
        <w:t> </w:t>
      </w:r>
      <w:r>
        <w:rPr>
          <w:i/>
          <w:sz w:val="24"/>
        </w:rPr>
        <w:t>«no</w:t>
      </w:r>
      <w:r>
        <w:rPr>
          <w:i/>
          <w:spacing w:val="-6"/>
          <w:sz w:val="24"/>
        </w:rPr>
        <w:t> </w:t>
      </w:r>
      <w:r>
        <w:rPr>
          <w:i/>
          <w:sz w:val="24"/>
        </w:rPr>
        <w:t>5» </w:t>
      </w:r>
      <w:r>
        <w:rPr>
          <w:i/>
          <w:spacing w:val="-2"/>
          <w:sz w:val="24"/>
        </w:rPr>
        <w:t>Parfums</w:t>
      </w:r>
    </w:p>
    <w:p>
      <w:pPr>
        <w:pStyle w:val="ListParagraph"/>
        <w:numPr>
          <w:ilvl w:val="0"/>
          <w:numId w:val="4"/>
        </w:numPr>
        <w:tabs>
          <w:tab w:pos="1015" w:val="left" w:leader="none"/>
          <w:tab w:pos="1017" w:val="left" w:leader="none"/>
        </w:tabs>
        <w:spacing w:line="240" w:lineRule="auto" w:before="165" w:after="0"/>
        <w:ind w:left="1017" w:right="162" w:hanging="428"/>
        <w:jc w:val="both"/>
        <w:rPr>
          <w:sz w:val="24"/>
        </w:rPr>
      </w:pPr>
      <w:r>
        <w:rPr>
          <w:sz w:val="24"/>
        </w:rPr>
        <w:t>Lancé en 1921, le parfum «No 5» de Chanel est toujours considéré à l’unanimité comme</w:t>
      </w:r>
      <w:r>
        <w:rPr>
          <w:spacing w:val="-8"/>
          <w:sz w:val="24"/>
        </w:rPr>
        <w:t> </w:t>
      </w:r>
      <w:r>
        <w:rPr>
          <w:sz w:val="24"/>
        </w:rPr>
        <w:t>le</w:t>
      </w:r>
      <w:r>
        <w:rPr>
          <w:spacing w:val="-8"/>
          <w:sz w:val="24"/>
        </w:rPr>
        <w:t> </w:t>
      </w:r>
      <w:r>
        <w:rPr>
          <w:sz w:val="24"/>
        </w:rPr>
        <w:t>parfum</w:t>
      </w:r>
      <w:r>
        <w:rPr>
          <w:spacing w:val="-7"/>
          <w:sz w:val="24"/>
        </w:rPr>
        <w:t> </w:t>
      </w:r>
      <w:r>
        <w:rPr>
          <w:sz w:val="24"/>
        </w:rPr>
        <w:t>le</w:t>
      </w:r>
      <w:r>
        <w:rPr>
          <w:spacing w:val="-6"/>
          <w:sz w:val="24"/>
        </w:rPr>
        <w:t> </w:t>
      </w:r>
      <w:r>
        <w:rPr>
          <w:sz w:val="24"/>
        </w:rPr>
        <w:t>plus</w:t>
      </w:r>
      <w:r>
        <w:rPr>
          <w:spacing w:val="-5"/>
          <w:sz w:val="24"/>
        </w:rPr>
        <w:t> </w:t>
      </w:r>
      <w:r>
        <w:rPr>
          <w:sz w:val="24"/>
        </w:rPr>
        <w:t>célèbre</w:t>
      </w:r>
      <w:r>
        <w:rPr>
          <w:spacing w:val="-8"/>
          <w:sz w:val="24"/>
        </w:rPr>
        <w:t> </w:t>
      </w:r>
      <w:r>
        <w:rPr>
          <w:sz w:val="24"/>
        </w:rPr>
        <w:t>au</w:t>
      </w:r>
      <w:r>
        <w:rPr>
          <w:spacing w:val="-6"/>
          <w:sz w:val="24"/>
        </w:rPr>
        <w:t> </w:t>
      </w:r>
      <w:r>
        <w:rPr>
          <w:sz w:val="24"/>
        </w:rPr>
        <w:t>monde.</w:t>
      </w:r>
      <w:r>
        <w:rPr>
          <w:spacing w:val="-6"/>
          <w:sz w:val="24"/>
        </w:rPr>
        <w:t> </w:t>
      </w:r>
      <w:r>
        <w:rPr>
          <w:sz w:val="24"/>
        </w:rPr>
        <w:t>La</w:t>
      </w:r>
      <w:r>
        <w:rPr>
          <w:spacing w:val="-6"/>
          <w:sz w:val="24"/>
        </w:rPr>
        <w:t> </w:t>
      </w:r>
      <w:r>
        <w:rPr>
          <w:sz w:val="24"/>
        </w:rPr>
        <w:t>presse</w:t>
      </w:r>
      <w:r>
        <w:rPr>
          <w:spacing w:val="-8"/>
          <w:sz w:val="24"/>
        </w:rPr>
        <w:t> </w:t>
      </w:r>
      <w:r>
        <w:rPr>
          <w:sz w:val="24"/>
        </w:rPr>
        <w:t>française</w:t>
      </w:r>
      <w:r>
        <w:rPr>
          <w:spacing w:val="-6"/>
          <w:sz w:val="24"/>
        </w:rPr>
        <w:t> </w:t>
      </w:r>
      <w:r>
        <w:rPr>
          <w:sz w:val="24"/>
        </w:rPr>
        <w:t>en</w:t>
      </w:r>
      <w:r>
        <w:rPr>
          <w:spacing w:val="-6"/>
          <w:sz w:val="24"/>
        </w:rPr>
        <w:t> </w:t>
      </w:r>
      <w:r>
        <w:rPr>
          <w:sz w:val="24"/>
        </w:rPr>
        <w:t>fait</w:t>
      </w:r>
      <w:r>
        <w:rPr>
          <w:spacing w:val="-7"/>
          <w:sz w:val="24"/>
        </w:rPr>
        <w:t> </w:t>
      </w:r>
      <w:r>
        <w:rPr>
          <w:sz w:val="24"/>
        </w:rPr>
        <w:t>état</w:t>
      </w:r>
      <w:r>
        <w:rPr>
          <w:spacing w:val="-7"/>
          <w:sz w:val="24"/>
        </w:rPr>
        <w:t> </w:t>
      </w:r>
      <w:r>
        <w:rPr>
          <w:sz w:val="24"/>
        </w:rPr>
        <w:t>depuis</w:t>
      </w:r>
      <w:r>
        <w:rPr>
          <w:spacing w:val="-7"/>
          <w:sz w:val="24"/>
        </w:rPr>
        <w:t> </w:t>
      </w:r>
      <w:r>
        <w:rPr>
          <w:sz w:val="24"/>
        </w:rPr>
        <w:t>des décennies et l’a rappelé à l’occasion du 100e anniversaire du</w:t>
      </w:r>
      <w:r>
        <w:rPr>
          <w:sz w:val="24"/>
          <w:vertAlign w:val="superscript"/>
        </w:rPr>
        <w:t>parfum</w:t>
      </w:r>
      <w:r>
        <w:rPr>
          <w:sz w:val="24"/>
          <w:vertAlign w:val="baseline"/>
        </w:rPr>
        <w:t>, célébré en 2021.</w:t>
      </w:r>
    </w:p>
    <w:p>
      <w:pPr>
        <w:pStyle w:val="ListParagraph"/>
        <w:numPr>
          <w:ilvl w:val="0"/>
          <w:numId w:val="4"/>
        </w:numPr>
        <w:tabs>
          <w:tab w:pos="1015" w:val="left" w:leader="none"/>
          <w:tab w:pos="1017" w:val="left" w:leader="none"/>
        </w:tabs>
        <w:spacing w:line="240" w:lineRule="auto" w:before="239" w:after="0"/>
        <w:ind w:left="1017" w:right="163" w:hanging="428"/>
        <w:jc w:val="both"/>
        <w:rPr>
          <w:sz w:val="24"/>
        </w:rPr>
      </w:pPr>
      <w:r>
        <w:rPr>
          <w:sz w:val="24"/>
        </w:rPr>
        <w:t>Popularisé par Marilyn Monroe en 1954, entré dans les collections permanentes du musée de New York MoMA en 1959, le parfum «No 5» n’a jamais cessé de jouir d’une</w:t>
      </w:r>
      <w:r>
        <w:rPr>
          <w:spacing w:val="-7"/>
          <w:sz w:val="24"/>
        </w:rPr>
        <w:t> </w:t>
      </w:r>
      <w:r>
        <w:rPr>
          <w:sz w:val="24"/>
        </w:rPr>
        <w:t>renommée</w:t>
      </w:r>
      <w:r>
        <w:rPr>
          <w:spacing w:val="-4"/>
          <w:sz w:val="24"/>
        </w:rPr>
        <w:t> </w:t>
      </w:r>
      <w:r>
        <w:rPr>
          <w:sz w:val="24"/>
        </w:rPr>
        <w:t>extraordinaire</w:t>
      </w:r>
      <w:r>
        <w:rPr>
          <w:spacing w:val="-6"/>
          <w:sz w:val="24"/>
        </w:rPr>
        <w:t> </w:t>
      </w:r>
      <w:r>
        <w:rPr>
          <w:sz w:val="24"/>
        </w:rPr>
        <w:t>dans</w:t>
      </w:r>
      <w:r>
        <w:rPr>
          <w:spacing w:val="-4"/>
          <w:sz w:val="24"/>
        </w:rPr>
        <w:t> </w:t>
      </w:r>
      <w:r>
        <w:rPr>
          <w:sz w:val="24"/>
        </w:rPr>
        <w:t>le</w:t>
      </w:r>
      <w:r>
        <w:rPr>
          <w:spacing w:val="-6"/>
          <w:sz w:val="24"/>
        </w:rPr>
        <w:t> </w:t>
      </w:r>
      <w:r>
        <w:rPr>
          <w:sz w:val="24"/>
        </w:rPr>
        <w:t>monde</w:t>
      </w:r>
      <w:r>
        <w:rPr>
          <w:spacing w:val="-4"/>
          <w:sz w:val="24"/>
        </w:rPr>
        <w:t> </w:t>
      </w:r>
      <w:r>
        <w:rPr>
          <w:sz w:val="24"/>
        </w:rPr>
        <w:t>entier,</w:t>
      </w:r>
      <w:r>
        <w:rPr>
          <w:spacing w:val="-6"/>
          <w:sz w:val="24"/>
        </w:rPr>
        <w:t> </w:t>
      </w:r>
      <w:r>
        <w:rPr>
          <w:sz w:val="24"/>
        </w:rPr>
        <w:t>et</w:t>
      </w:r>
      <w:r>
        <w:rPr>
          <w:spacing w:val="-3"/>
          <w:sz w:val="24"/>
        </w:rPr>
        <w:t> </w:t>
      </w:r>
      <w:r>
        <w:rPr>
          <w:sz w:val="24"/>
        </w:rPr>
        <w:t>en</w:t>
      </w:r>
      <w:r>
        <w:rPr>
          <w:spacing w:val="-6"/>
          <w:sz w:val="24"/>
        </w:rPr>
        <w:t> </w:t>
      </w:r>
      <w:r>
        <w:rPr>
          <w:sz w:val="24"/>
        </w:rPr>
        <w:t>particulier</w:t>
      </w:r>
      <w:r>
        <w:rPr>
          <w:spacing w:val="-3"/>
          <w:sz w:val="24"/>
        </w:rPr>
        <w:t> </w:t>
      </w:r>
      <w:r>
        <w:rPr>
          <w:sz w:val="24"/>
        </w:rPr>
        <w:t>en</w:t>
      </w:r>
      <w:r>
        <w:rPr>
          <w:spacing w:val="-6"/>
          <w:sz w:val="24"/>
        </w:rPr>
        <w:t> </w:t>
      </w:r>
      <w:r>
        <w:rPr>
          <w:sz w:val="24"/>
        </w:rPr>
        <w:t>France</w:t>
      </w:r>
      <w:r>
        <w:rPr>
          <w:spacing w:val="-5"/>
          <w:sz w:val="24"/>
        </w:rPr>
        <w:t> </w:t>
      </w:r>
      <w:r>
        <w:rPr>
          <w:sz w:val="24"/>
        </w:rPr>
        <w:t>où</w:t>
      </w:r>
      <w:r>
        <w:rPr>
          <w:spacing w:val="-6"/>
          <w:sz w:val="24"/>
        </w:rPr>
        <w:t> </w:t>
      </w:r>
      <w:r>
        <w:rPr>
          <w:sz w:val="24"/>
        </w:rPr>
        <w:t>il </w:t>
      </w:r>
      <w:r>
        <w:rPr>
          <w:spacing w:val="-2"/>
          <w:sz w:val="24"/>
        </w:rPr>
        <w:t>est</w:t>
      </w:r>
      <w:r>
        <w:rPr>
          <w:spacing w:val="-7"/>
          <w:sz w:val="24"/>
        </w:rPr>
        <w:t> </w:t>
      </w:r>
      <w:r>
        <w:rPr>
          <w:spacing w:val="-2"/>
          <w:sz w:val="24"/>
        </w:rPr>
        <w:t>commercialisé</w:t>
      </w:r>
      <w:r>
        <w:rPr>
          <w:spacing w:val="-8"/>
          <w:sz w:val="24"/>
        </w:rPr>
        <w:t> </w:t>
      </w:r>
      <w:r>
        <w:rPr>
          <w:spacing w:val="-2"/>
          <w:sz w:val="24"/>
        </w:rPr>
        <w:t>et</w:t>
      </w:r>
      <w:r>
        <w:rPr>
          <w:spacing w:val="-7"/>
          <w:sz w:val="24"/>
        </w:rPr>
        <w:t> </w:t>
      </w:r>
      <w:r>
        <w:rPr>
          <w:spacing w:val="-2"/>
          <w:sz w:val="24"/>
        </w:rPr>
        <w:t>connu</w:t>
      </w:r>
      <w:r>
        <w:rPr>
          <w:spacing w:val="-8"/>
          <w:sz w:val="24"/>
        </w:rPr>
        <w:t> </w:t>
      </w:r>
      <w:r>
        <w:rPr>
          <w:spacing w:val="-2"/>
          <w:sz w:val="24"/>
        </w:rPr>
        <w:t>depuis</w:t>
      </w:r>
      <w:r>
        <w:rPr>
          <w:spacing w:val="-7"/>
          <w:sz w:val="24"/>
        </w:rPr>
        <w:t> </w:t>
      </w:r>
      <w:r>
        <w:rPr>
          <w:spacing w:val="-2"/>
          <w:sz w:val="24"/>
        </w:rPr>
        <w:t>plus</w:t>
      </w:r>
      <w:r>
        <w:rPr>
          <w:spacing w:val="-7"/>
          <w:sz w:val="24"/>
        </w:rPr>
        <w:t> </w:t>
      </w:r>
      <w:r>
        <w:rPr>
          <w:spacing w:val="-2"/>
          <w:sz w:val="24"/>
        </w:rPr>
        <w:t>de</w:t>
      </w:r>
      <w:r>
        <w:rPr>
          <w:spacing w:val="-9"/>
          <w:sz w:val="24"/>
        </w:rPr>
        <w:t> </w:t>
      </w:r>
      <w:r>
        <w:rPr>
          <w:spacing w:val="-2"/>
          <w:sz w:val="24"/>
        </w:rPr>
        <w:t>100</w:t>
      </w:r>
      <w:r>
        <w:rPr>
          <w:spacing w:val="-8"/>
          <w:sz w:val="24"/>
        </w:rPr>
        <w:t> </w:t>
      </w:r>
      <w:r>
        <w:rPr>
          <w:spacing w:val="-2"/>
          <w:sz w:val="24"/>
        </w:rPr>
        <w:t>ans</w:t>
      </w:r>
      <w:r>
        <w:rPr>
          <w:spacing w:val="-8"/>
          <w:sz w:val="24"/>
        </w:rPr>
        <w:t> </w:t>
      </w:r>
      <w:r>
        <w:rPr>
          <w:spacing w:val="-2"/>
          <w:sz w:val="24"/>
        </w:rPr>
        <w:t>(annexes</w:t>
      </w:r>
      <w:r>
        <w:rPr>
          <w:spacing w:val="-8"/>
          <w:sz w:val="24"/>
        </w:rPr>
        <w:t> </w:t>
      </w:r>
      <w:r>
        <w:rPr>
          <w:spacing w:val="-2"/>
          <w:sz w:val="24"/>
        </w:rPr>
        <w:t>1</w:t>
      </w:r>
      <w:r>
        <w:rPr>
          <w:spacing w:val="-8"/>
          <w:sz w:val="24"/>
        </w:rPr>
        <w:t> </w:t>
      </w:r>
      <w:r>
        <w:rPr>
          <w:spacing w:val="-2"/>
          <w:sz w:val="24"/>
        </w:rPr>
        <w:t>à</w:t>
      </w:r>
      <w:r>
        <w:rPr>
          <w:spacing w:val="-9"/>
          <w:sz w:val="24"/>
        </w:rPr>
        <w:t> </w:t>
      </w:r>
      <w:r>
        <w:rPr>
          <w:spacing w:val="-2"/>
          <w:sz w:val="24"/>
        </w:rPr>
        <w:t>2</w:t>
      </w:r>
      <w:r>
        <w:rPr>
          <w:spacing w:val="-8"/>
          <w:sz w:val="24"/>
        </w:rPr>
        <w:t> </w:t>
      </w:r>
      <w:r>
        <w:rPr>
          <w:spacing w:val="-2"/>
          <w:sz w:val="24"/>
        </w:rPr>
        <w:t>également</w:t>
      </w:r>
      <w:r>
        <w:rPr>
          <w:spacing w:val="-7"/>
          <w:sz w:val="24"/>
        </w:rPr>
        <w:t> </w:t>
      </w:r>
      <w:r>
        <w:rPr>
          <w:spacing w:val="-2"/>
          <w:sz w:val="24"/>
        </w:rPr>
        <w:t>présentées </w:t>
      </w:r>
      <w:r>
        <w:rPr>
          <w:sz w:val="24"/>
        </w:rPr>
        <w:t>devant la division d’opposition).</w:t>
      </w:r>
    </w:p>
    <w:p>
      <w:pPr>
        <w:pStyle w:val="ListParagraph"/>
        <w:numPr>
          <w:ilvl w:val="0"/>
          <w:numId w:val="4"/>
        </w:numPr>
        <w:tabs>
          <w:tab w:pos="1015" w:val="left" w:leader="none"/>
          <w:tab w:pos="1017" w:val="left" w:leader="none"/>
        </w:tabs>
        <w:spacing w:line="240" w:lineRule="auto" w:before="241" w:after="0"/>
        <w:ind w:left="1017" w:right="157" w:hanging="428"/>
        <w:jc w:val="both"/>
        <w:rPr>
          <w:sz w:val="24"/>
        </w:rPr>
      </w:pPr>
      <w:r>
        <w:rPr>
          <w:sz w:val="24"/>
        </w:rPr>
        <w:t>Au-delà</w:t>
      </w:r>
      <w:r>
        <w:rPr>
          <w:spacing w:val="-1"/>
          <w:sz w:val="24"/>
        </w:rPr>
        <w:t> </w:t>
      </w:r>
      <w:r>
        <w:rPr>
          <w:sz w:val="24"/>
        </w:rPr>
        <w:t>de</w:t>
      </w:r>
      <w:r>
        <w:rPr>
          <w:spacing w:val="-1"/>
          <w:sz w:val="24"/>
        </w:rPr>
        <w:t> </w:t>
      </w:r>
      <w:r>
        <w:rPr>
          <w:sz w:val="24"/>
        </w:rPr>
        <w:t>la</w:t>
      </w:r>
      <w:r>
        <w:rPr>
          <w:spacing w:val="-1"/>
          <w:sz w:val="24"/>
        </w:rPr>
        <w:t> </w:t>
      </w:r>
      <w:r>
        <w:rPr>
          <w:sz w:val="24"/>
        </w:rPr>
        <w:t>qualité</w:t>
      </w:r>
      <w:r>
        <w:rPr>
          <w:spacing w:val="-1"/>
          <w:sz w:val="24"/>
        </w:rPr>
        <w:t> </w:t>
      </w:r>
      <w:r>
        <w:rPr>
          <w:sz w:val="24"/>
        </w:rPr>
        <w:t>intrinsèque</w:t>
      </w:r>
      <w:r>
        <w:rPr>
          <w:spacing w:val="-1"/>
          <w:sz w:val="24"/>
        </w:rPr>
        <w:t> </w:t>
      </w:r>
      <w:r>
        <w:rPr>
          <w:sz w:val="24"/>
        </w:rPr>
        <w:t>du produit et de</w:t>
      </w:r>
      <w:r>
        <w:rPr>
          <w:spacing w:val="-1"/>
          <w:sz w:val="24"/>
        </w:rPr>
        <w:t> </w:t>
      </w:r>
      <w:r>
        <w:rPr>
          <w:sz w:val="24"/>
        </w:rPr>
        <w:t>son prestige</w:t>
      </w:r>
      <w:r>
        <w:rPr>
          <w:spacing w:val="-1"/>
          <w:sz w:val="24"/>
        </w:rPr>
        <w:t> </w:t>
      </w:r>
      <w:r>
        <w:rPr>
          <w:sz w:val="24"/>
        </w:rPr>
        <w:t>lié à</w:t>
      </w:r>
      <w:r>
        <w:rPr>
          <w:spacing w:val="-1"/>
          <w:sz w:val="24"/>
        </w:rPr>
        <w:t> </w:t>
      </w:r>
      <w:r>
        <w:rPr>
          <w:sz w:val="24"/>
        </w:rPr>
        <w:t>ses origines,</w:t>
      </w:r>
      <w:r>
        <w:rPr>
          <w:spacing w:val="-1"/>
          <w:sz w:val="24"/>
        </w:rPr>
        <w:t> </w:t>
      </w:r>
      <w:r>
        <w:rPr>
          <w:sz w:val="24"/>
        </w:rPr>
        <w:t>cette renommée considérable a été étayée par de nombreuses campagnes publicitaires en France,</w:t>
      </w:r>
      <w:r>
        <w:rPr>
          <w:spacing w:val="-10"/>
          <w:sz w:val="24"/>
        </w:rPr>
        <w:t> </w:t>
      </w:r>
      <w:r>
        <w:rPr>
          <w:sz w:val="24"/>
        </w:rPr>
        <w:t>dans</w:t>
      </w:r>
      <w:r>
        <w:rPr>
          <w:spacing w:val="-12"/>
          <w:sz w:val="24"/>
        </w:rPr>
        <w:t> </w:t>
      </w:r>
      <w:r>
        <w:rPr>
          <w:sz w:val="24"/>
        </w:rPr>
        <w:t>la</w:t>
      </w:r>
      <w:r>
        <w:rPr>
          <w:spacing w:val="-13"/>
          <w:sz w:val="24"/>
        </w:rPr>
        <w:t> </w:t>
      </w:r>
      <w:r>
        <w:rPr>
          <w:sz w:val="24"/>
        </w:rPr>
        <w:t>presse,</w:t>
      </w:r>
      <w:r>
        <w:rPr>
          <w:spacing w:val="-10"/>
          <w:sz w:val="24"/>
        </w:rPr>
        <w:t> </w:t>
      </w:r>
      <w:r>
        <w:rPr>
          <w:sz w:val="24"/>
        </w:rPr>
        <w:t>en</w:t>
      </w:r>
      <w:r>
        <w:rPr>
          <w:spacing w:val="-10"/>
          <w:sz w:val="24"/>
        </w:rPr>
        <w:t> </w:t>
      </w:r>
      <w:r>
        <w:rPr>
          <w:sz w:val="24"/>
        </w:rPr>
        <w:t>plein</w:t>
      </w:r>
      <w:r>
        <w:rPr>
          <w:spacing w:val="-12"/>
          <w:sz w:val="24"/>
        </w:rPr>
        <w:t> </w:t>
      </w:r>
      <w:r>
        <w:rPr>
          <w:sz w:val="24"/>
        </w:rPr>
        <w:t>air</w:t>
      </w:r>
      <w:r>
        <w:rPr>
          <w:spacing w:val="-10"/>
          <w:sz w:val="24"/>
        </w:rPr>
        <w:t> </w:t>
      </w:r>
      <w:r>
        <w:rPr>
          <w:sz w:val="24"/>
        </w:rPr>
        <w:t>et</w:t>
      </w:r>
      <w:r>
        <w:rPr>
          <w:spacing w:val="-9"/>
          <w:sz w:val="24"/>
        </w:rPr>
        <w:t> </w:t>
      </w:r>
      <w:r>
        <w:rPr>
          <w:sz w:val="24"/>
        </w:rPr>
        <w:t>à</w:t>
      </w:r>
      <w:r>
        <w:rPr>
          <w:spacing w:val="-13"/>
          <w:sz w:val="24"/>
        </w:rPr>
        <w:t> </w:t>
      </w:r>
      <w:r>
        <w:rPr>
          <w:sz w:val="24"/>
        </w:rPr>
        <w:t>la</w:t>
      </w:r>
      <w:r>
        <w:rPr>
          <w:spacing w:val="-10"/>
          <w:sz w:val="24"/>
        </w:rPr>
        <w:t> </w:t>
      </w:r>
      <w:r>
        <w:rPr>
          <w:sz w:val="24"/>
        </w:rPr>
        <w:t>télévision,</w:t>
      </w:r>
      <w:r>
        <w:rPr>
          <w:spacing w:val="-12"/>
          <w:sz w:val="24"/>
        </w:rPr>
        <w:t> </w:t>
      </w:r>
      <w:r>
        <w:rPr>
          <w:sz w:val="24"/>
        </w:rPr>
        <w:t>présentant</w:t>
      </w:r>
      <w:r>
        <w:rPr>
          <w:spacing w:val="-12"/>
          <w:sz w:val="24"/>
        </w:rPr>
        <w:t> </w:t>
      </w:r>
      <w:r>
        <w:rPr>
          <w:sz w:val="24"/>
        </w:rPr>
        <w:t>des</w:t>
      </w:r>
      <w:r>
        <w:rPr>
          <w:spacing w:val="-10"/>
          <w:sz w:val="24"/>
        </w:rPr>
        <w:t> </w:t>
      </w:r>
      <w:r>
        <w:rPr>
          <w:sz w:val="24"/>
        </w:rPr>
        <w:t>actrices</w:t>
      </w:r>
      <w:r>
        <w:rPr>
          <w:spacing w:val="-9"/>
          <w:sz w:val="24"/>
        </w:rPr>
        <w:t> </w:t>
      </w:r>
      <w:r>
        <w:rPr>
          <w:sz w:val="24"/>
        </w:rPr>
        <w:t>et</w:t>
      </w:r>
      <w:r>
        <w:rPr>
          <w:spacing w:val="-12"/>
          <w:sz w:val="24"/>
        </w:rPr>
        <w:t> </w:t>
      </w:r>
      <w:r>
        <w:rPr>
          <w:sz w:val="24"/>
        </w:rPr>
        <w:t>modèles mondialement célèbres: Catherine Deneuve (1973), Carole Bouquet (1993 et 1994), Estella Warren (1998), Nicole Kidman (2005), Audrey Tautou (2009), Brad Pitt (2012),</w:t>
      </w:r>
      <w:r>
        <w:rPr>
          <w:spacing w:val="26"/>
          <w:sz w:val="24"/>
        </w:rPr>
        <w:t> </w:t>
      </w:r>
      <w:r>
        <w:rPr>
          <w:sz w:val="24"/>
        </w:rPr>
        <w:t>Gisele</w:t>
      </w:r>
      <w:r>
        <w:rPr>
          <w:spacing w:val="26"/>
          <w:sz w:val="24"/>
        </w:rPr>
        <w:t> </w:t>
      </w:r>
      <w:r>
        <w:rPr>
          <w:sz w:val="24"/>
        </w:rPr>
        <w:t>Bündchen</w:t>
      </w:r>
      <w:r>
        <w:rPr>
          <w:spacing w:val="26"/>
          <w:sz w:val="24"/>
        </w:rPr>
        <w:t> </w:t>
      </w:r>
      <w:r>
        <w:rPr>
          <w:sz w:val="24"/>
        </w:rPr>
        <w:t>(2014),</w:t>
      </w:r>
      <w:r>
        <w:rPr>
          <w:spacing w:val="28"/>
          <w:sz w:val="24"/>
        </w:rPr>
        <w:t> </w:t>
      </w:r>
      <w:r>
        <w:rPr>
          <w:sz w:val="24"/>
        </w:rPr>
        <w:t>Lily-Rose</w:t>
      </w:r>
      <w:r>
        <w:rPr>
          <w:spacing w:val="26"/>
          <w:sz w:val="24"/>
        </w:rPr>
        <w:t> </w:t>
      </w:r>
      <w:r>
        <w:rPr>
          <w:sz w:val="24"/>
        </w:rPr>
        <w:t>Depp</w:t>
      </w:r>
      <w:r>
        <w:rPr>
          <w:spacing w:val="26"/>
          <w:sz w:val="24"/>
        </w:rPr>
        <w:t> </w:t>
      </w:r>
      <w:r>
        <w:rPr>
          <w:sz w:val="24"/>
        </w:rPr>
        <w:t>(2016),</w:t>
      </w:r>
      <w:r>
        <w:rPr>
          <w:spacing w:val="26"/>
          <w:sz w:val="24"/>
        </w:rPr>
        <w:t> </w:t>
      </w:r>
      <w:r>
        <w:rPr>
          <w:sz w:val="24"/>
        </w:rPr>
        <w:t>Marion</w:t>
      </w:r>
      <w:r>
        <w:rPr>
          <w:spacing w:val="26"/>
          <w:sz w:val="24"/>
        </w:rPr>
        <w:t> </w:t>
      </w:r>
      <w:r>
        <w:rPr>
          <w:sz w:val="24"/>
        </w:rPr>
        <w:t>Cotillard</w:t>
      </w:r>
      <w:r>
        <w:rPr>
          <w:spacing w:val="26"/>
          <w:sz w:val="24"/>
        </w:rPr>
        <w:t> </w:t>
      </w:r>
      <w:r>
        <w:rPr>
          <w:sz w:val="24"/>
        </w:rPr>
        <w:t>(2020-</w:t>
      </w:r>
    </w:p>
    <w:p>
      <w:pPr>
        <w:pStyle w:val="BodyText"/>
        <w:ind w:left="1017"/>
        <w:jc w:val="both"/>
      </w:pPr>
      <w:r>
        <w:rPr/>
        <w:t>2022),</w:t>
      </w:r>
      <w:r>
        <w:rPr>
          <w:spacing w:val="-1"/>
        </w:rPr>
        <w:t> </w:t>
      </w:r>
      <w:r>
        <w:rPr/>
        <w:t>Margot Robbie (2024)</w:t>
      </w:r>
      <w:r>
        <w:rPr>
          <w:spacing w:val="-1"/>
        </w:rPr>
        <w:t> </w:t>
      </w:r>
      <w:r>
        <w:rPr/>
        <w:t>(voir</w:t>
      </w:r>
      <w:r>
        <w:rPr>
          <w:spacing w:val="-2"/>
        </w:rPr>
        <w:t> </w:t>
      </w:r>
      <w:r>
        <w:rPr/>
        <w:t>annexes 3, 4 et </w:t>
      </w:r>
      <w:r>
        <w:rPr>
          <w:spacing w:val="-5"/>
        </w:rPr>
        <w:t>5).</w:t>
      </w:r>
    </w:p>
    <w:p>
      <w:pPr>
        <w:pStyle w:val="ListParagraph"/>
        <w:numPr>
          <w:ilvl w:val="0"/>
          <w:numId w:val="4"/>
        </w:numPr>
        <w:tabs>
          <w:tab w:pos="1015" w:val="left" w:leader="none"/>
          <w:tab w:pos="1017" w:val="left" w:leader="none"/>
        </w:tabs>
        <w:spacing w:line="240" w:lineRule="auto" w:before="240" w:after="0"/>
        <w:ind w:left="1017" w:right="161" w:hanging="428"/>
        <w:jc w:val="both"/>
        <w:rPr>
          <w:sz w:val="24"/>
        </w:rPr>
      </w:pPr>
      <w:r>
        <w:rPr>
          <w:sz w:val="24"/>
        </w:rPr>
        <w:t>En 2021 et 2022, des campagnes d’affichage sur lesquelles figurent l’actrice célèbre Marion</w:t>
      </w:r>
      <w:r>
        <w:rPr>
          <w:spacing w:val="-13"/>
          <w:sz w:val="24"/>
        </w:rPr>
        <w:t> </w:t>
      </w:r>
      <w:r>
        <w:rPr>
          <w:sz w:val="24"/>
        </w:rPr>
        <w:t>Cotillard</w:t>
      </w:r>
      <w:r>
        <w:rPr>
          <w:spacing w:val="-14"/>
          <w:sz w:val="24"/>
        </w:rPr>
        <w:t> </w:t>
      </w:r>
      <w:r>
        <w:rPr>
          <w:sz w:val="24"/>
        </w:rPr>
        <w:t>ont</w:t>
      </w:r>
      <w:r>
        <w:rPr>
          <w:spacing w:val="-13"/>
          <w:sz w:val="24"/>
        </w:rPr>
        <w:t> </w:t>
      </w:r>
      <w:r>
        <w:rPr>
          <w:sz w:val="24"/>
        </w:rPr>
        <w:t>donné</w:t>
      </w:r>
      <w:r>
        <w:rPr>
          <w:spacing w:val="-14"/>
          <w:sz w:val="24"/>
        </w:rPr>
        <w:t> </w:t>
      </w:r>
      <w:r>
        <w:rPr>
          <w:sz w:val="24"/>
        </w:rPr>
        <w:t>lieu</w:t>
      </w:r>
      <w:r>
        <w:rPr>
          <w:spacing w:val="-13"/>
          <w:sz w:val="24"/>
        </w:rPr>
        <w:t> </w:t>
      </w:r>
      <w:r>
        <w:rPr>
          <w:sz w:val="24"/>
        </w:rPr>
        <w:t>à</w:t>
      </w:r>
      <w:r>
        <w:rPr>
          <w:spacing w:val="-14"/>
          <w:sz w:val="24"/>
        </w:rPr>
        <w:t> </w:t>
      </w:r>
      <w:r>
        <w:rPr>
          <w:sz w:val="24"/>
        </w:rPr>
        <w:t>un</w:t>
      </w:r>
      <w:r>
        <w:rPr>
          <w:spacing w:val="-13"/>
          <w:sz w:val="24"/>
        </w:rPr>
        <w:t> </w:t>
      </w:r>
      <w:r>
        <w:rPr>
          <w:sz w:val="24"/>
        </w:rPr>
        <w:t>affichage</w:t>
      </w:r>
      <w:r>
        <w:rPr>
          <w:spacing w:val="-14"/>
          <w:sz w:val="24"/>
        </w:rPr>
        <w:t> </w:t>
      </w:r>
      <w:r>
        <w:rPr>
          <w:sz w:val="24"/>
        </w:rPr>
        <w:t>important</w:t>
      </w:r>
      <w:r>
        <w:rPr>
          <w:spacing w:val="-13"/>
          <w:sz w:val="24"/>
        </w:rPr>
        <w:t> </w:t>
      </w:r>
      <w:r>
        <w:rPr>
          <w:sz w:val="24"/>
        </w:rPr>
        <w:t>à</w:t>
      </w:r>
      <w:r>
        <w:rPr>
          <w:spacing w:val="-14"/>
          <w:sz w:val="24"/>
        </w:rPr>
        <w:t> </w:t>
      </w:r>
      <w:r>
        <w:rPr>
          <w:sz w:val="24"/>
        </w:rPr>
        <w:t>Paris</w:t>
      </w:r>
      <w:r>
        <w:rPr>
          <w:spacing w:val="-13"/>
          <w:sz w:val="24"/>
        </w:rPr>
        <w:t> </w:t>
      </w:r>
      <w:r>
        <w:rPr>
          <w:sz w:val="24"/>
        </w:rPr>
        <w:t>et</w:t>
      </w:r>
      <w:r>
        <w:rPr>
          <w:spacing w:val="-13"/>
          <w:sz w:val="24"/>
        </w:rPr>
        <w:t> </w:t>
      </w:r>
      <w:r>
        <w:rPr>
          <w:sz w:val="24"/>
        </w:rPr>
        <w:t>dans</w:t>
      </w:r>
      <w:r>
        <w:rPr>
          <w:spacing w:val="-13"/>
          <w:sz w:val="24"/>
        </w:rPr>
        <w:t> </w:t>
      </w:r>
      <w:r>
        <w:rPr>
          <w:sz w:val="24"/>
        </w:rPr>
        <w:t>d’autres</w:t>
      </w:r>
      <w:r>
        <w:rPr>
          <w:spacing w:val="-13"/>
          <w:sz w:val="24"/>
        </w:rPr>
        <w:t> </w:t>
      </w:r>
      <w:r>
        <w:rPr>
          <w:sz w:val="24"/>
        </w:rPr>
        <w:t>villes françaises, dans les rues (grands magasins) et dans les aéroports (annexe 6).</w:t>
      </w:r>
    </w:p>
    <w:p>
      <w:pPr>
        <w:pStyle w:val="BodyText"/>
        <w:rPr>
          <w:sz w:val="18"/>
        </w:rPr>
      </w:pPr>
    </w:p>
    <w:p>
      <w:pPr>
        <w:pStyle w:val="BodyText"/>
        <w:rPr>
          <w:sz w:val="18"/>
        </w:rPr>
      </w:pPr>
    </w:p>
    <w:p>
      <w:pPr>
        <w:pStyle w:val="BodyText"/>
        <w:spacing w:before="77"/>
        <w:rPr>
          <w:sz w:val="18"/>
        </w:rPr>
      </w:pPr>
    </w:p>
    <w:p>
      <w:pPr>
        <w:spacing w:before="1"/>
        <w:ind w:left="2737" w:right="2738" w:firstLine="0"/>
        <w:jc w:val="center"/>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p>
      <w:pPr>
        <w:spacing w:after="0"/>
        <w:jc w:val="center"/>
        <w:rPr>
          <w:sz w:val="18"/>
        </w:rPr>
        <w:sectPr>
          <w:pgSz w:w="11910" w:h="16840"/>
          <w:pgMar w:header="970" w:footer="0" w:top="1180" w:bottom="280" w:left="1275" w:right="1275"/>
        </w:sectPr>
      </w:pPr>
    </w:p>
    <w:p>
      <w:pPr>
        <w:pStyle w:val="ListParagraph"/>
        <w:numPr>
          <w:ilvl w:val="0"/>
          <w:numId w:val="4"/>
        </w:numPr>
        <w:tabs>
          <w:tab w:pos="1015" w:val="left" w:leader="none"/>
          <w:tab w:pos="1017" w:val="left" w:leader="none"/>
        </w:tabs>
        <w:spacing w:line="240" w:lineRule="auto" w:before="249" w:after="0"/>
        <w:ind w:left="1017" w:right="159" w:hanging="428"/>
        <w:jc w:val="both"/>
        <w:rPr>
          <w:sz w:val="24"/>
        </w:rPr>
      </w:pPr>
      <w:r>
        <w:rPr>
          <w:sz w:val="24"/>
        </w:rPr>
        <mc:AlternateContent>
          <mc:Choice Requires="wps">
            <w:drawing>
              <wp:anchor distT="0" distB="0" distL="0" distR="0" allowOverlap="1" layoutInCell="1" locked="0" behindDoc="0" simplePos="0" relativeHeight="15738880">
                <wp:simplePos x="0" y="0"/>
                <wp:positionH relativeFrom="page">
                  <wp:posOffset>270575</wp:posOffset>
                </wp:positionH>
                <wp:positionV relativeFrom="page">
                  <wp:posOffset>1114363</wp:posOffset>
                </wp:positionV>
                <wp:extent cx="146050" cy="921004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146050" cy="9210040"/>
                        </a:xfrm>
                        <a:prstGeom prst="rect">
                          <a:avLst/>
                        </a:prstGeom>
                      </wps:spPr>
                      <wps:txbx>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wps:txbx>
                      <wps:bodyPr wrap="square" lIns="0" tIns="0" rIns="0" bIns="0" rtlCol="0" vert="vert270">
                        <a:noAutofit/>
                      </wps:bodyPr>
                    </wps:wsp>
                  </a:graphicData>
                </a:graphic>
              </wp:anchor>
            </w:drawing>
          </mc:Choice>
          <mc:Fallback>
            <w:pict>
              <v:shape style="position:absolute;margin-left:21.305176pt;margin-top:87.745193pt;width:11.5pt;height:725.2pt;mso-position-horizontal-relative:page;mso-position-vertical-relative:page;z-index:15738880" type="#_x0000_t202" id="docshape19" filled="false" stroked="false">
                <v:textbox inset="0,0,0,0" style="layout-flow:vertical;mso-layout-flow-alt:bottom-to-top">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v:textbox>
                <w10:wrap type="none"/>
              </v:shape>
            </w:pict>
          </mc:Fallback>
        </mc:AlternateContent>
      </w:r>
      <w:r>
        <w:rPr>
          <w:sz w:val="24"/>
        </w:rPr>
        <w:t>Entre</w:t>
      </w:r>
      <w:r>
        <w:rPr>
          <w:spacing w:val="-9"/>
          <w:sz w:val="24"/>
        </w:rPr>
        <w:t> </w:t>
      </w:r>
      <w:r>
        <w:rPr>
          <w:sz w:val="24"/>
        </w:rPr>
        <w:t>décembre</w:t>
      </w:r>
      <w:r>
        <w:rPr>
          <w:spacing w:val="-9"/>
          <w:sz w:val="24"/>
        </w:rPr>
        <w:t> </w:t>
      </w:r>
      <w:r>
        <w:rPr>
          <w:sz w:val="24"/>
        </w:rPr>
        <w:t>2020</w:t>
      </w:r>
      <w:r>
        <w:rPr>
          <w:spacing w:val="-6"/>
          <w:sz w:val="24"/>
        </w:rPr>
        <w:t> </w:t>
      </w:r>
      <w:r>
        <w:rPr>
          <w:sz w:val="24"/>
        </w:rPr>
        <w:t>et</w:t>
      </w:r>
      <w:r>
        <w:rPr>
          <w:spacing w:val="-8"/>
          <w:sz w:val="24"/>
        </w:rPr>
        <w:t> </w:t>
      </w:r>
      <w:r>
        <w:rPr>
          <w:sz w:val="24"/>
        </w:rPr>
        <w:t>janvier</w:t>
      </w:r>
      <w:r>
        <w:rPr>
          <w:spacing w:val="-9"/>
          <w:sz w:val="24"/>
        </w:rPr>
        <w:t> </w:t>
      </w:r>
      <w:r>
        <w:rPr>
          <w:sz w:val="24"/>
        </w:rPr>
        <w:t>2023,</w:t>
      </w:r>
      <w:r>
        <w:rPr>
          <w:spacing w:val="-8"/>
          <w:sz w:val="24"/>
        </w:rPr>
        <w:t> </w:t>
      </w:r>
      <w:r>
        <w:rPr>
          <w:sz w:val="24"/>
        </w:rPr>
        <w:t>les</w:t>
      </w:r>
      <w:r>
        <w:rPr>
          <w:spacing w:val="-9"/>
          <w:sz w:val="24"/>
        </w:rPr>
        <w:t> </w:t>
      </w:r>
      <w:r>
        <w:rPr>
          <w:sz w:val="24"/>
        </w:rPr>
        <w:t>journaux</w:t>
      </w:r>
      <w:r>
        <w:rPr>
          <w:spacing w:val="-6"/>
          <w:sz w:val="24"/>
        </w:rPr>
        <w:t> </w:t>
      </w:r>
      <w:r>
        <w:rPr>
          <w:sz w:val="24"/>
        </w:rPr>
        <w:t>nationaux</w:t>
      </w:r>
      <w:r>
        <w:rPr>
          <w:spacing w:val="-6"/>
          <w:sz w:val="24"/>
        </w:rPr>
        <w:t> </w:t>
      </w:r>
      <w:r>
        <w:rPr>
          <w:sz w:val="24"/>
        </w:rPr>
        <w:t>à</w:t>
      </w:r>
      <w:r>
        <w:rPr>
          <w:spacing w:val="-9"/>
          <w:sz w:val="24"/>
        </w:rPr>
        <w:t> </w:t>
      </w:r>
      <w:r>
        <w:rPr>
          <w:sz w:val="24"/>
        </w:rPr>
        <w:t>grand</w:t>
      </w:r>
      <w:r>
        <w:rPr>
          <w:spacing w:val="-8"/>
          <w:sz w:val="24"/>
        </w:rPr>
        <w:t> </w:t>
      </w:r>
      <w:r>
        <w:rPr>
          <w:sz w:val="24"/>
        </w:rPr>
        <w:t>tirage</w:t>
      </w:r>
      <w:r>
        <w:rPr>
          <w:spacing w:val="-7"/>
          <w:sz w:val="24"/>
        </w:rPr>
        <w:t> </w:t>
      </w:r>
      <w:r>
        <w:rPr>
          <w:sz w:val="24"/>
        </w:rPr>
        <w:t>en</w:t>
      </w:r>
      <w:r>
        <w:rPr>
          <w:spacing w:val="-8"/>
          <w:sz w:val="24"/>
        </w:rPr>
        <w:t> </w:t>
      </w:r>
      <w:r>
        <w:rPr>
          <w:sz w:val="24"/>
        </w:rPr>
        <w:t>France (</w:t>
      </w:r>
      <w:r>
        <w:rPr>
          <w:i/>
          <w:sz w:val="24"/>
        </w:rPr>
        <w:t>Elle Décoration, F l’art</w:t>
      </w:r>
      <w:r>
        <w:rPr>
          <w:i/>
          <w:spacing w:val="-1"/>
          <w:sz w:val="24"/>
        </w:rPr>
        <w:t> </w:t>
      </w:r>
      <w:r>
        <w:rPr>
          <w:i/>
          <w:sz w:val="24"/>
        </w:rPr>
        <w:t>de vivre du Figaro, Figaro Madame, Le Point, le</w:t>
      </w:r>
      <w:r>
        <w:rPr>
          <w:i/>
          <w:spacing w:val="-2"/>
          <w:sz w:val="24"/>
        </w:rPr>
        <w:t> </w:t>
      </w:r>
      <w:r>
        <w:rPr>
          <w:i/>
          <w:sz w:val="24"/>
        </w:rPr>
        <w:t>magazine du</w:t>
      </w:r>
      <w:r>
        <w:rPr>
          <w:i/>
          <w:spacing w:val="-6"/>
          <w:sz w:val="24"/>
        </w:rPr>
        <w:t> </w:t>
      </w:r>
      <w:r>
        <w:rPr>
          <w:i/>
          <w:sz w:val="24"/>
        </w:rPr>
        <w:t>Monde,</w:t>
      </w:r>
      <w:r>
        <w:rPr>
          <w:i/>
          <w:spacing w:val="-6"/>
          <w:sz w:val="24"/>
        </w:rPr>
        <w:t> </w:t>
      </w:r>
      <w:r>
        <w:rPr>
          <w:i/>
          <w:sz w:val="24"/>
        </w:rPr>
        <w:t>Point</w:t>
      </w:r>
      <w:r>
        <w:rPr>
          <w:i/>
          <w:spacing w:val="-5"/>
          <w:sz w:val="24"/>
        </w:rPr>
        <w:t> </w:t>
      </w:r>
      <w:r>
        <w:rPr>
          <w:i/>
          <w:sz w:val="24"/>
        </w:rPr>
        <w:t>de</w:t>
      </w:r>
      <w:r>
        <w:rPr>
          <w:i/>
          <w:spacing w:val="-7"/>
          <w:sz w:val="24"/>
        </w:rPr>
        <w:t> </w:t>
      </w:r>
      <w:r>
        <w:rPr>
          <w:i/>
          <w:sz w:val="24"/>
        </w:rPr>
        <w:t>vue)</w:t>
      </w:r>
      <w:r>
        <w:rPr>
          <w:i/>
          <w:spacing w:val="-7"/>
          <w:sz w:val="24"/>
        </w:rPr>
        <w:t> </w:t>
      </w:r>
      <w:r>
        <w:rPr>
          <w:i/>
          <w:sz w:val="24"/>
        </w:rPr>
        <w:t>ont</w:t>
      </w:r>
      <w:r>
        <w:rPr>
          <w:i/>
          <w:spacing w:val="-5"/>
          <w:sz w:val="24"/>
        </w:rPr>
        <w:t> </w:t>
      </w:r>
      <w:r>
        <w:rPr>
          <w:i/>
          <w:sz w:val="24"/>
        </w:rPr>
        <w:t>fait</w:t>
      </w:r>
      <w:r>
        <w:rPr>
          <w:i/>
          <w:spacing w:val="-8"/>
          <w:sz w:val="24"/>
        </w:rPr>
        <w:t> </w:t>
      </w:r>
      <w:r>
        <w:rPr>
          <w:i/>
          <w:sz w:val="24"/>
        </w:rPr>
        <w:t>l’objet</w:t>
      </w:r>
      <w:r>
        <w:rPr>
          <w:i/>
          <w:spacing w:val="-5"/>
          <w:sz w:val="24"/>
        </w:rPr>
        <w:t> </w:t>
      </w:r>
      <w:r>
        <w:rPr>
          <w:i/>
          <w:sz w:val="24"/>
        </w:rPr>
        <w:t>d’</w:t>
      </w:r>
      <w:r>
        <w:rPr>
          <w:sz w:val="24"/>
        </w:rPr>
        <w:t>une</w:t>
      </w:r>
      <w:r>
        <w:rPr>
          <w:spacing w:val="-7"/>
          <w:sz w:val="24"/>
        </w:rPr>
        <w:t> </w:t>
      </w:r>
      <w:r>
        <w:rPr>
          <w:sz w:val="24"/>
        </w:rPr>
        <w:t>publicité</w:t>
      </w:r>
      <w:r>
        <w:rPr>
          <w:spacing w:val="-7"/>
          <w:sz w:val="24"/>
        </w:rPr>
        <w:t> </w:t>
      </w:r>
      <w:r>
        <w:rPr>
          <w:sz w:val="24"/>
        </w:rPr>
        <w:t>en</w:t>
      </w:r>
      <w:r>
        <w:rPr>
          <w:spacing w:val="-6"/>
          <w:sz w:val="24"/>
        </w:rPr>
        <w:t> </w:t>
      </w:r>
      <w:r>
        <w:rPr>
          <w:sz w:val="24"/>
        </w:rPr>
        <w:t>une</w:t>
      </w:r>
      <w:r>
        <w:rPr>
          <w:spacing w:val="-7"/>
          <w:sz w:val="24"/>
        </w:rPr>
        <w:t> </w:t>
      </w:r>
      <w:r>
        <w:rPr>
          <w:sz w:val="24"/>
        </w:rPr>
        <w:t>ou</w:t>
      </w:r>
      <w:r>
        <w:rPr>
          <w:spacing w:val="-6"/>
          <w:sz w:val="24"/>
        </w:rPr>
        <w:t> </w:t>
      </w:r>
      <w:r>
        <w:rPr>
          <w:sz w:val="24"/>
        </w:rPr>
        <w:t>deux</w:t>
      </w:r>
      <w:r>
        <w:rPr>
          <w:spacing w:val="-6"/>
          <w:sz w:val="24"/>
        </w:rPr>
        <w:t> </w:t>
      </w:r>
      <w:r>
        <w:rPr>
          <w:sz w:val="24"/>
        </w:rPr>
        <w:t>pages</w:t>
      </w:r>
      <w:r>
        <w:rPr>
          <w:spacing w:val="-6"/>
          <w:sz w:val="24"/>
        </w:rPr>
        <w:t> </w:t>
      </w:r>
      <w:r>
        <w:rPr>
          <w:sz w:val="24"/>
        </w:rPr>
        <w:t>pour</w:t>
      </w:r>
      <w:r>
        <w:rPr>
          <w:spacing w:val="-7"/>
          <w:sz w:val="24"/>
        </w:rPr>
        <w:t> </w:t>
      </w:r>
      <w:r>
        <w:rPr>
          <w:sz w:val="24"/>
        </w:rPr>
        <w:t>un parfum «No 5» sur lequel figure l’acress Marion Cotillard (annexe 18).</w:t>
      </w:r>
    </w:p>
    <w:p>
      <w:pPr>
        <w:pStyle w:val="ListParagraph"/>
        <w:numPr>
          <w:ilvl w:val="0"/>
          <w:numId w:val="4"/>
        </w:numPr>
        <w:tabs>
          <w:tab w:pos="1015" w:val="left" w:leader="none"/>
          <w:tab w:pos="1017" w:val="left" w:leader="none"/>
        </w:tabs>
        <w:spacing w:line="240" w:lineRule="auto" w:before="238" w:after="0"/>
        <w:ind w:left="1017" w:right="165" w:hanging="428"/>
        <w:jc w:val="both"/>
        <w:rPr>
          <w:sz w:val="24"/>
        </w:rPr>
      </w:pPr>
      <w:r>
        <w:rPr>
          <w:sz w:val="24"/>
        </w:rPr>
        <w:t>Sur</w:t>
      </w:r>
      <w:r>
        <w:rPr>
          <w:spacing w:val="-9"/>
          <w:sz w:val="24"/>
        </w:rPr>
        <w:t> </w:t>
      </w:r>
      <w:r>
        <w:rPr>
          <w:sz w:val="24"/>
        </w:rPr>
        <w:t>le</w:t>
      </w:r>
      <w:r>
        <w:rPr>
          <w:spacing w:val="-9"/>
          <w:sz w:val="24"/>
        </w:rPr>
        <w:t> </w:t>
      </w:r>
      <w:r>
        <w:rPr>
          <w:sz w:val="24"/>
        </w:rPr>
        <w:t>compte</w:t>
      </w:r>
      <w:r>
        <w:rPr>
          <w:spacing w:val="-4"/>
          <w:sz w:val="24"/>
        </w:rPr>
        <w:t> </w:t>
      </w:r>
      <w:r>
        <w:rPr>
          <w:sz w:val="24"/>
        </w:rPr>
        <w:t>Instagram</w:t>
      </w:r>
      <w:r>
        <w:rPr>
          <w:spacing w:val="-3"/>
          <w:sz w:val="24"/>
        </w:rPr>
        <w:t> </w:t>
      </w:r>
      <w:r>
        <w:rPr>
          <w:sz w:val="24"/>
        </w:rPr>
        <w:t>Chanel,</w:t>
      </w:r>
      <w:r>
        <w:rPr>
          <w:spacing w:val="-8"/>
          <w:sz w:val="24"/>
        </w:rPr>
        <w:t> </w:t>
      </w:r>
      <w:r>
        <w:rPr>
          <w:sz w:val="24"/>
        </w:rPr>
        <w:t>qui</w:t>
      </w:r>
      <w:r>
        <w:rPr>
          <w:spacing w:val="-8"/>
          <w:sz w:val="24"/>
        </w:rPr>
        <w:t> </w:t>
      </w:r>
      <w:r>
        <w:rPr>
          <w:sz w:val="24"/>
        </w:rPr>
        <w:t>compte</w:t>
      </w:r>
      <w:r>
        <w:rPr>
          <w:spacing w:val="-9"/>
          <w:sz w:val="24"/>
        </w:rPr>
        <w:t> </w:t>
      </w:r>
      <w:r>
        <w:rPr>
          <w:sz w:val="24"/>
        </w:rPr>
        <w:t>60</w:t>
      </w:r>
      <w:r>
        <w:rPr>
          <w:spacing w:val="-6"/>
          <w:sz w:val="24"/>
        </w:rPr>
        <w:t> </w:t>
      </w:r>
      <w:r>
        <w:rPr>
          <w:sz w:val="24"/>
        </w:rPr>
        <w:t>millions</w:t>
      </w:r>
      <w:r>
        <w:rPr>
          <w:spacing w:val="-8"/>
          <w:sz w:val="24"/>
        </w:rPr>
        <w:t> </w:t>
      </w:r>
      <w:r>
        <w:rPr>
          <w:sz w:val="24"/>
        </w:rPr>
        <w:t>de</w:t>
      </w:r>
      <w:r>
        <w:rPr>
          <w:spacing w:val="-9"/>
          <w:sz w:val="24"/>
        </w:rPr>
        <w:t> </w:t>
      </w:r>
      <w:r>
        <w:rPr>
          <w:sz w:val="24"/>
        </w:rPr>
        <w:t>abonnés,</w:t>
      </w:r>
      <w:r>
        <w:rPr>
          <w:spacing w:val="-8"/>
          <w:sz w:val="24"/>
        </w:rPr>
        <w:t> </w:t>
      </w:r>
      <w:r>
        <w:rPr>
          <w:sz w:val="24"/>
        </w:rPr>
        <w:t>apparaissent</w:t>
      </w:r>
      <w:r>
        <w:rPr>
          <w:spacing w:val="-8"/>
          <w:sz w:val="24"/>
        </w:rPr>
        <w:t> </w:t>
      </w:r>
      <w:r>
        <w:rPr>
          <w:sz w:val="24"/>
        </w:rPr>
        <w:t>sur le parfum «No 5» entre 50 000 et 80 000 personnes (annexe 19).</w:t>
      </w:r>
    </w:p>
    <w:p>
      <w:pPr>
        <w:pStyle w:val="ListParagraph"/>
        <w:numPr>
          <w:ilvl w:val="0"/>
          <w:numId w:val="4"/>
        </w:numPr>
        <w:tabs>
          <w:tab w:pos="1015" w:val="left" w:leader="none"/>
          <w:tab w:pos="1017" w:val="left" w:leader="none"/>
        </w:tabs>
        <w:spacing w:line="240" w:lineRule="auto" w:before="239" w:after="0"/>
        <w:ind w:left="1017" w:right="163" w:hanging="428"/>
        <w:jc w:val="both"/>
        <w:rPr>
          <w:sz w:val="24"/>
        </w:rPr>
      </w:pPr>
      <w:r>
        <w:rPr>
          <w:sz w:val="24"/>
        </w:rPr>
        <w:t>Les</w:t>
      </w:r>
      <w:r>
        <w:rPr>
          <w:spacing w:val="-3"/>
          <w:sz w:val="24"/>
        </w:rPr>
        <w:t> </w:t>
      </w:r>
      <w:r>
        <w:rPr>
          <w:sz w:val="24"/>
        </w:rPr>
        <w:t>films</w:t>
      </w:r>
      <w:r>
        <w:rPr>
          <w:spacing w:val="-3"/>
          <w:sz w:val="24"/>
        </w:rPr>
        <w:t> </w:t>
      </w:r>
      <w:r>
        <w:rPr>
          <w:sz w:val="24"/>
        </w:rPr>
        <w:t>publicitaires</w:t>
      </w:r>
      <w:r>
        <w:rPr>
          <w:spacing w:val="-3"/>
          <w:sz w:val="24"/>
        </w:rPr>
        <w:t> </w:t>
      </w:r>
      <w:r>
        <w:rPr>
          <w:sz w:val="24"/>
        </w:rPr>
        <w:t>de</w:t>
      </w:r>
      <w:r>
        <w:rPr>
          <w:spacing w:val="-4"/>
          <w:sz w:val="24"/>
        </w:rPr>
        <w:t> </w:t>
      </w:r>
      <w:r>
        <w:rPr>
          <w:sz w:val="24"/>
        </w:rPr>
        <w:t>parfum «No</w:t>
      </w:r>
      <w:r>
        <w:rPr>
          <w:spacing w:val="-3"/>
          <w:sz w:val="24"/>
        </w:rPr>
        <w:t> </w:t>
      </w:r>
      <w:r>
        <w:rPr>
          <w:sz w:val="24"/>
        </w:rPr>
        <w:t>5»</w:t>
      </w:r>
      <w:r>
        <w:rPr>
          <w:spacing w:val="-11"/>
          <w:sz w:val="24"/>
        </w:rPr>
        <w:t> </w:t>
      </w:r>
      <w:r>
        <w:rPr>
          <w:sz w:val="24"/>
        </w:rPr>
        <w:t>ont</w:t>
      </w:r>
      <w:r>
        <w:rPr>
          <w:spacing w:val="-3"/>
          <w:sz w:val="24"/>
        </w:rPr>
        <w:t> </w:t>
      </w:r>
      <w:r>
        <w:rPr>
          <w:sz w:val="24"/>
        </w:rPr>
        <w:t>été</w:t>
      </w:r>
      <w:r>
        <w:rPr>
          <w:spacing w:val="-4"/>
          <w:sz w:val="24"/>
        </w:rPr>
        <w:t> </w:t>
      </w:r>
      <w:r>
        <w:rPr>
          <w:sz w:val="24"/>
        </w:rPr>
        <w:t>diffusés</w:t>
      </w:r>
      <w:r>
        <w:rPr>
          <w:spacing w:val="-3"/>
          <w:sz w:val="24"/>
        </w:rPr>
        <w:t> </w:t>
      </w:r>
      <w:r>
        <w:rPr>
          <w:sz w:val="24"/>
        </w:rPr>
        <w:t>à</w:t>
      </w:r>
      <w:r>
        <w:rPr>
          <w:spacing w:val="-4"/>
          <w:sz w:val="24"/>
        </w:rPr>
        <w:t> </w:t>
      </w:r>
      <w:r>
        <w:rPr>
          <w:sz w:val="24"/>
        </w:rPr>
        <w:t>la</w:t>
      </w:r>
      <w:r>
        <w:rPr>
          <w:spacing w:val="-3"/>
          <w:sz w:val="24"/>
        </w:rPr>
        <w:t> </w:t>
      </w:r>
      <w:r>
        <w:rPr>
          <w:sz w:val="24"/>
        </w:rPr>
        <w:t>télévision</w:t>
      </w:r>
      <w:r>
        <w:rPr>
          <w:spacing w:val="-3"/>
          <w:sz w:val="24"/>
        </w:rPr>
        <w:t> </w:t>
      </w:r>
      <w:r>
        <w:rPr>
          <w:sz w:val="24"/>
        </w:rPr>
        <w:t>entre</w:t>
      </w:r>
      <w:r>
        <w:rPr>
          <w:spacing w:val="-5"/>
          <w:sz w:val="24"/>
        </w:rPr>
        <w:t> </w:t>
      </w:r>
      <w:r>
        <w:rPr>
          <w:sz w:val="24"/>
        </w:rPr>
        <w:t>2011</w:t>
      </w:r>
      <w:r>
        <w:rPr>
          <w:spacing w:val="-3"/>
          <w:sz w:val="24"/>
        </w:rPr>
        <w:t> </w:t>
      </w:r>
      <w:r>
        <w:rPr>
          <w:sz w:val="24"/>
        </w:rPr>
        <w:t>et 2020, et téléchargés sur YouTube en même temps, et sont disponibles sur YouTube depuis lors. En 2023, ils comptaient entre 4 et 20 millions de vues sur YouTube en fonction du film (annexe 3, référence est faite à 10 films).</w:t>
      </w:r>
    </w:p>
    <w:p>
      <w:pPr>
        <w:pStyle w:val="ListParagraph"/>
        <w:numPr>
          <w:ilvl w:val="0"/>
          <w:numId w:val="4"/>
        </w:numPr>
        <w:tabs>
          <w:tab w:pos="1015" w:val="left" w:leader="none"/>
          <w:tab w:pos="1017" w:val="left" w:leader="none"/>
        </w:tabs>
        <w:spacing w:line="240" w:lineRule="auto" w:before="239" w:after="0"/>
        <w:ind w:left="1017" w:right="164" w:hanging="428"/>
        <w:jc w:val="both"/>
        <w:rPr>
          <w:sz w:val="24"/>
        </w:rPr>
      </w:pPr>
      <w:r>
        <w:rPr>
          <w:sz w:val="24"/>
        </w:rPr>
        <w:t>La presse nationale française a toujours souligné que le parfum «No 5», souvent qualifié de mythique, est le parfum le plus vendu au monde depuis des décennies et jouit d’un prestige et d’une réputation exceptionnels dans le monde entier, et notamment en France (annexe 7, référence est faite à huit articles en français datés </w:t>
      </w:r>
      <w:r>
        <w:rPr>
          <w:spacing w:val="-2"/>
          <w:sz w:val="24"/>
        </w:rPr>
        <w:t>de-2004).</w:t>
      </w:r>
    </w:p>
    <w:p>
      <w:pPr>
        <w:pStyle w:val="ListParagraph"/>
        <w:numPr>
          <w:ilvl w:val="0"/>
          <w:numId w:val="4"/>
        </w:numPr>
        <w:tabs>
          <w:tab w:pos="1015" w:val="left" w:leader="none"/>
          <w:tab w:pos="1017" w:val="left" w:leader="none"/>
        </w:tabs>
        <w:spacing w:line="240" w:lineRule="auto" w:before="242" w:after="0"/>
        <w:ind w:left="1017" w:right="164" w:hanging="428"/>
        <w:jc w:val="both"/>
        <w:rPr>
          <w:sz w:val="24"/>
        </w:rPr>
      </w:pPr>
      <w:r>
        <w:rPr>
          <w:sz w:val="24"/>
        </w:rPr>
        <w:t>À l’occasion du 100e anniversaire du parfum «No 5» en 2021, la presse nationale française a de nouveau souligné la renommée exceptionnelle de ce parfum emblématique (annexe 8, référence est faite à trois articles datés de 2021).</w:t>
      </w:r>
    </w:p>
    <w:p>
      <w:pPr>
        <w:pStyle w:val="ListParagraph"/>
        <w:numPr>
          <w:ilvl w:val="0"/>
          <w:numId w:val="4"/>
        </w:numPr>
        <w:tabs>
          <w:tab w:pos="1015" w:val="left" w:leader="none"/>
          <w:tab w:pos="1017" w:val="left" w:leader="none"/>
        </w:tabs>
        <w:spacing w:line="240" w:lineRule="auto" w:before="239" w:after="0"/>
        <w:ind w:left="1017" w:right="159" w:hanging="428"/>
        <w:jc w:val="both"/>
        <w:rPr>
          <w:sz w:val="24"/>
        </w:rPr>
      </w:pPr>
      <w:r>
        <w:rPr>
          <w:sz w:val="24"/>
        </w:rPr>
        <w:t>Pour</w:t>
      </w:r>
      <w:r>
        <w:rPr>
          <w:spacing w:val="-6"/>
          <w:sz w:val="24"/>
        </w:rPr>
        <w:t> </w:t>
      </w:r>
      <w:r>
        <w:rPr>
          <w:sz w:val="24"/>
        </w:rPr>
        <w:t>ce</w:t>
      </w:r>
      <w:r>
        <w:rPr>
          <w:spacing w:val="-6"/>
          <w:sz w:val="24"/>
        </w:rPr>
        <w:t> </w:t>
      </w:r>
      <w:r>
        <w:rPr>
          <w:sz w:val="24"/>
        </w:rPr>
        <w:t>100e</w:t>
      </w:r>
      <w:r>
        <w:rPr>
          <w:spacing w:val="-4"/>
          <w:sz w:val="24"/>
        </w:rPr>
        <w:t> </w:t>
      </w:r>
      <w:r>
        <w:rPr>
          <w:sz w:val="24"/>
        </w:rPr>
        <w:t>anniversaire</w:t>
      </w:r>
      <w:r>
        <w:rPr>
          <w:spacing w:val="-6"/>
          <w:sz w:val="24"/>
        </w:rPr>
        <w:t> </w:t>
      </w:r>
      <w:r>
        <w:rPr>
          <w:sz w:val="24"/>
        </w:rPr>
        <w:t>du «No</w:t>
      </w:r>
      <w:r>
        <w:rPr>
          <w:spacing w:val="-5"/>
          <w:sz w:val="24"/>
        </w:rPr>
        <w:t> </w:t>
      </w:r>
      <w:r>
        <w:rPr>
          <w:sz w:val="24"/>
        </w:rPr>
        <w:t>5»</w:t>
      </w:r>
      <w:r>
        <w:rPr>
          <w:spacing w:val="-10"/>
          <w:sz w:val="24"/>
        </w:rPr>
        <w:t> </w:t>
      </w:r>
      <w:r>
        <w:rPr>
          <w:sz w:val="24"/>
        </w:rPr>
        <w:t>de</w:t>
      </w:r>
      <w:r>
        <w:rPr>
          <w:spacing w:val="-6"/>
          <w:sz w:val="24"/>
        </w:rPr>
        <w:t> </w:t>
      </w:r>
      <w:r>
        <w:rPr>
          <w:sz w:val="24"/>
        </w:rPr>
        <w:t>Chanel,</w:t>
      </w:r>
      <w:r>
        <w:rPr>
          <w:spacing w:val="-4"/>
          <w:sz w:val="24"/>
        </w:rPr>
        <w:t> </w:t>
      </w:r>
      <w:r>
        <w:rPr>
          <w:sz w:val="24"/>
        </w:rPr>
        <w:t>une</w:t>
      </w:r>
      <w:r>
        <w:rPr>
          <w:spacing w:val="-6"/>
          <w:sz w:val="24"/>
        </w:rPr>
        <w:t> </w:t>
      </w:r>
      <w:r>
        <w:rPr>
          <w:sz w:val="24"/>
        </w:rPr>
        <w:t>collection</w:t>
      </w:r>
      <w:r>
        <w:rPr>
          <w:spacing w:val="-5"/>
          <w:sz w:val="24"/>
        </w:rPr>
        <w:t> </w:t>
      </w:r>
      <w:r>
        <w:rPr>
          <w:sz w:val="24"/>
        </w:rPr>
        <w:t>de</w:t>
      </w:r>
      <w:r>
        <w:rPr>
          <w:spacing w:val="-4"/>
          <w:sz w:val="24"/>
        </w:rPr>
        <w:t> </w:t>
      </w:r>
      <w:r>
        <w:rPr>
          <w:sz w:val="24"/>
        </w:rPr>
        <w:t>timbres</w:t>
      </w:r>
      <w:r>
        <w:rPr>
          <w:spacing w:val="-2"/>
          <w:sz w:val="24"/>
        </w:rPr>
        <w:t> </w:t>
      </w:r>
      <w:r>
        <w:rPr>
          <w:sz w:val="24"/>
        </w:rPr>
        <w:t>exclusifs</w:t>
      </w:r>
      <w:r>
        <w:rPr>
          <w:spacing w:val="-5"/>
          <w:sz w:val="24"/>
        </w:rPr>
        <w:t> </w:t>
      </w:r>
      <w:r>
        <w:rPr>
          <w:sz w:val="24"/>
        </w:rPr>
        <w:t>a même</w:t>
      </w:r>
      <w:r>
        <w:rPr>
          <w:spacing w:val="-11"/>
          <w:sz w:val="24"/>
        </w:rPr>
        <w:t> </w:t>
      </w:r>
      <w:r>
        <w:rPr>
          <w:sz w:val="24"/>
        </w:rPr>
        <w:t>été</w:t>
      </w:r>
      <w:r>
        <w:rPr>
          <w:spacing w:val="-10"/>
          <w:sz w:val="24"/>
        </w:rPr>
        <w:t> </w:t>
      </w:r>
      <w:r>
        <w:rPr>
          <w:sz w:val="24"/>
        </w:rPr>
        <w:t>créée</w:t>
      </w:r>
      <w:r>
        <w:rPr>
          <w:spacing w:val="-11"/>
          <w:sz w:val="24"/>
        </w:rPr>
        <w:t> </w:t>
      </w:r>
      <w:r>
        <w:rPr>
          <w:sz w:val="24"/>
        </w:rPr>
        <w:t>en</w:t>
      </w:r>
      <w:r>
        <w:rPr>
          <w:spacing w:val="-10"/>
          <w:sz w:val="24"/>
        </w:rPr>
        <w:t> </w:t>
      </w:r>
      <w:r>
        <w:rPr>
          <w:sz w:val="24"/>
        </w:rPr>
        <w:t>collaboration</w:t>
      </w:r>
      <w:r>
        <w:rPr>
          <w:spacing w:val="-10"/>
          <w:sz w:val="24"/>
        </w:rPr>
        <w:t> </w:t>
      </w:r>
      <w:r>
        <w:rPr>
          <w:sz w:val="24"/>
        </w:rPr>
        <w:t>avec</w:t>
      </w:r>
      <w:r>
        <w:rPr>
          <w:spacing w:val="-8"/>
          <w:sz w:val="24"/>
        </w:rPr>
        <w:t> </w:t>
      </w:r>
      <w:r>
        <w:rPr>
          <w:sz w:val="24"/>
        </w:rPr>
        <w:t>La</w:t>
      </w:r>
      <w:r>
        <w:rPr>
          <w:spacing w:val="-8"/>
          <w:sz w:val="24"/>
        </w:rPr>
        <w:t> </w:t>
      </w:r>
      <w:r>
        <w:rPr>
          <w:sz w:val="24"/>
        </w:rPr>
        <w:t>Poste</w:t>
      </w:r>
      <w:r>
        <w:rPr>
          <w:spacing w:val="-10"/>
          <w:sz w:val="24"/>
        </w:rPr>
        <w:t> </w:t>
      </w:r>
      <w:r>
        <w:rPr>
          <w:sz w:val="24"/>
        </w:rPr>
        <w:t>(2021):</w:t>
      </w:r>
      <w:r>
        <w:rPr>
          <w:spacing w:val="-10"/>
          <w:sz w:val="24"/>
        </w:rPr>
        <w:t> </w:t>
      </w:r>
      <w:r>
        <w:rPr>
          <w:sz w:val="24"/>
        </w:rPr>
        <w:t>disponible</w:t>
      </w:r>
      <w:r>
        <w:rPr>
          <w:spacing w:val="-11"/>
          <w:sz w:val="24"/>
        </w:rPr>
        <w:t> </w:t>
      </w:r>
      <w:r>
        <w:rPr>
          <w:sz w:val="24"/>
        </w:rPr>
        <w:t>en</w:t>
      </w:r>
      <w:r>
        <w:rPr>
          <w:spacing w:val="-10"/>
          <w:sz w:val="24"/>
        </w:rPr>
        <w:t> </w:t>
      </w:r>
      <w:r>
        <w:rPr>
          <w:sz w:val="24"/>
        </w:rPr>
        <w:t>2</w:t>
      </w:r>
      <w:r>
        <w:rPr>
          <w:spacing w:val="-3"/>
          <w:sz w:val="24"/>
        </w:rPr>
        <w:t> </w:t>
      </w:r>
      <w:r>
        <w:rPr>
          <w:sz w:val="24"/>
        </w:rPr>
        <w:t>500</w:t>
      </w:r>
      <w:r>
        <w:rPr>
          <w:spacing w:val="-3"/>
          <w:sz w:val="24"/>
        </w:rPr>
        <w:t> </w:t>
      </w:r>
      <w:r>
        <w:rPr>
          <w:sz w:val="24"/>
        </w:rPr>
        <w:t>000</w:t>
      </w:r>
      <w:r>
        <w:rPr>
          <w:spacing w:val="-10"/>
          <w:sz w:val="24"/>
        </w:rPr>
        <w:t> </w:t>
      </w:r>
      <w:r>
        <w:rPr>
          <w:sz w:val="24"/>
        </w:rPr>
        <w:t>unités (20 g), 1 200 000 unités (100 g) ou 550 000 unités (bloc de timbres) (appendice 9).</w:t>
      </w:r>
    </w:p>
    <w:p>
      <w:pPr>
        <w:pStyle w:val="ListParagraph"/>
        <w:numPr>
          <w:ilvl w:val="0"/>
          <w:numId w:val="4"/>
        </w:numPr>
        <w:tabs>
          <w:tab w:pos="1015" w:val="left" w:leader="none"/>
          <w:tab w:pos="1017" w:val="left" w:leader="none"/>
        </w:tabs>
        <w:spacing w:line="240" w:lineRule="auto" w:before="239" w:after="0"/>
        <w:ind w:left="1017" w:right="158" w:hanging="428"/>
        <w:jc w:val="both"/>
        <w:rPr>
          <w:sz w:val="24"/>
        </w:rPr>
      </w:pPr>
      <w:r>
        <w:rPr>
          <w:sz w:val="24"/>
        </w:rPr>
        <w:t>La renommée</w:t>
      </w:r>
      <w:r>
        <w:rPr>
          <w:spacing w:val="-1"/>
          <w:sz w:val="24"/>
        </w:rPr>
        <w:t> </w:t>
      </w:r>
      <w:r>
        <w:rPr>
          <w:sz w:val="24"/>
        </w:rPr>
        <w:t>du parfum «No 5»</w:t>
      </w:r>
      <w:r>
        <w:rPr>
          <w:spacing w:val="-5"/>
          <w:sz w:val="24"/>
        </w:rPr>
        <w:t> </w:t>
      </w:r>
      <w:r>
        <w:rPr>
          <w:sz w:val="24"/>
        </w:rPr>
        <w:t>est telle</w:t>
      </w:r>
      <w:r>
        <w:rPr>
          <w:spacing w:val="-1"/>
          <w:sz w:val="24"/>
        </w:rPr>
        <w:t> </w:t>
      </w:r>
      <w:r>
        <w:rPr>
          <w:sz w:val="24"/>
        </w:rPr>
        <w:t>que</w:t>
      </w:r>
      <w:r>
        <w:rPr>
          <w:spacing w:val="-1"/>
          <w:sz w:val="24"/>
        </w:rPr>
        <w:t> </w:t>
      </w:r>
      <w:r>
        <w:rPr>
          <w:sz w:val="24"/>
        </w:rPr>
        <w:t>des expositions ont été</w:t>
      </w:r>
      <w:r>
        <w:rPr>
          <w:spacing w:val="-1"/>
          <w:sz w:val="24"/>
        </w:rPr>
        <w:t> </w:t>
      </w:r>
      <w:r>
        <w:rPr>
          <w:sz w:val="24"/>
        </w:rPr>
        <w:t>consacrées à</w:t>
      </w:r>
      <w:r>
        <w:rPr>
          <w:spacing w:val="-1"/>
          <w:sz w:val="24"/>
        </w:rPr>
        <w:t> </w:t>
      </w:r>
      <w:r>
        <w:rPr>
          <w:sz w:val="24"/>
        </w:rPr>
        <w:t>ce produit mythique dans des musées célèbres à Paris en 2013 (</w:t>
      </w:r>
      <w:r>
        <w:rPr>
          <w:i/>
          <w:sz w:val="24"/>
        </w:rPr>
        <w:t>Palais de Tokyo</w:t>
      </w:r>
      <w:r>
        <w:rPr>
          <w:sz w:val="24"/>
        </w:rPr>
        <w:t>) et fin 2022-début 2023 (</w:t>
      </w:r>
      <w:r>
        <w:rPr>
          <w:i/>
          <w:sz w:val="24"/>
        </w:rPr>
        <w:t>Grand Palais Ephmatière)</w:t>
      </w:r>
      <w:r>
        <w:rPr>
          <w:sz w:val="24"/>
        </w:rPr>
        <w:t>avec couverture de presse (annexe 10).</w:t>
      </w:r>
    </w:p>
    <w:p>
      <w:pPr>
        <w:pStyle w:val="ListParagraph"/>
        <w:numPr>
          <w:ilvl w:val="0"/>
          <w:numId w:val="4"/>
        </w:numPr>
        <w:tabs>
          <w:tab w:pos="1015" w:val="left" w:leader="none"/>
          <w:tab w:pos="1017" w:val="left" w:leader="none"/>
        </w:tabs>
        <w:spacing w:line="240" w:lineRule="auto" w:before="239" w:after="0"/>
        <w:ind w:left="1017" w:right="163" w:hanging="428"/>
        <w:jc w:val="both"/>
        <w:rPr>
          <w:sz w:val="24"/>
        </w:rPr>
      </w:pPr>
      <w:r>
        <w:rPr>
          <w:sz w:val="24"/>
        </w:rPr>
        <w:t>En France, des livres ont également été spécifiquement dédiés au parfum «No 5» (annexe 11).</w:t>
      </w:r>
    </w:p>
    <w:p>
      <w:pPr>
        <w:pStyle w:val="ListParagraph"/>
        <w:numPr>
          <w:ilvl w:val="0"/>
          <w:numId w:val="4"/>
        </w:numPr>
        <w:tabs>
          <w:tab w:pos="1015" w:val="left" w:leader="none"/>
          <w:tab w:pos="1017" w:val="left" w:leader="none"/>
        </w:tabs>
        <w:spacing w:line="240" w:lineRule="auto" w:before="239" w:after="0"/>
        <w:ind w:left="1017" w:right="167" w:hanging="428"/>
        <w:jc w:val="both"/>
        <w:rPr>
          <w:sz w:val="24"/>
        </w:rPr>
      </w:pPr>
      <w:r>
        <w:rPr>
          <w:sz w:val="24"/>
        </w:rPr>
        <w:t>«No 5» apparaît toujours en tête des classements publiés par la presse française (annexe 12, deux articles datés de 2011 et 2024).</w:t>
      </w:r>
    </w:p>
    <w:p>
      <w:pPr>
        <w:pStyle w:val="ListParagraph"/>
        <w:numPr>
          <w:ilvl w:val="0"/>
          <w:numId w:val="4"/>
        </w:numPr>
        <w:tabs>
          <w:tab w:pos="1015" w:val="left" w:leader="none"/>
          <w:tab w:pos="1017" w:val="left" w:leader="none"/>
        </w:tabs>
        <w:spacing w:line="240" w:lineRule="auto" w:before="238" w:after="0"/>
        <w:ind w:left="1017" w:right="163" w:hanging="428"/>
        <w:jc w:val="both"/>
        <w:rPr>
          <w:sz w:val="24"/>
        </w:rPr>
      </w:pPr>
      <w:r>
        <w:rPr>
          <w:sz w:val="24"/>
        </w:rPr>
        <w:t>Il ressort de l’ensemble de ces faits et preuves que la marque «No 5» jouit d’une renommée exceptionnelle pour des produits de parfumerie en France depuis des décennies.</w:t>
      </w:r>
      <w:r>
        <w:rPr>
          <w:spacing w:val="-9"/>
          <w:sz w:val="24"/>
        </w:rPr>
        <w:t> </w:t>
      </w:r>
      <w:r>
        <w:rPr>
          <w:sz w:val="24"/>
        </w:rPr>
        <w:t>Cette</w:t>
      </w:r>
      <w:r>
        <w:rPr>
          <w:spacing w:val="-7"/>
          <w:sz w:val="24"/>
        </w:rPr>
        <w:t> </w:t>
      </w:r>
      <w:r>
        <w:rPr>
          <w:sz w:val="24"/>
        </w:rPr>
        <w:t>renommée</w:t>
      </w:r>
      <w:r>
        <w:rPr>
          <w:spacing w:val="-9"/>
          <w:sz w:val="24"/>
        </w:rPr>
        <w:t> </w:t>
      </w:r>
      <w:r>
        <w:rPr>
          <w:sz w:val="24"/>
        </w:rPr>
        <w:t>existait</w:t>
      </w:r>
      <w:r>
        <w:rPr>
          <w:spacing w:val="-8"/>
          <w:sz w:val="24"/>
        </w:rPr>
        <w:t> </w:t>
      </w:r>
      <w:r>
        <w:rPr>
          <w:sz w:val="24"/>
        </w:rPr>
        <w:t>clairement</w:t>
      </w:r>
      <w:r>
        <w:rPr>
          <w:spacing w:val="-8"/>
          <w:sz w:val="24"/>
        </w:rPr>
        <w:t> </w:t>
      </w:r>
      <w:r>
        <w:rPr>
          <w:sz w:val="24"/>
        </w:rPr>
        <w:t>au</w:t>
      </w:r>
      <w:r>
        <w:rPr>
          <w:spacing w:val="-6"/>
          <w:sz w:val="24"/>
        </w:rPr>
        <w:t> </w:t>
      </w:r>
      <w:r>
        <w:rPr>
          <w:sz w:val="24"/>
        </w:rPr>
        <w:t>moment</w:t>
      </w:r>
      <w:r>
        <w:rPr>
          <w:spacing w:val="-8"/>
          <w:sz w:val="24"/>
        </w:rPr>
        <w:t> </w:t>
      </w:r>
      <w:r>
        <w:rPr>
          <w:sz w:val="24"/>
        </w:rPr>
        <w:t>du</w:t>
      </w:r>
      <w:r>
        <w:rPr>
          <w:spacing w:val="-8"/>
          <w:sz w:val="24"/>
        </w:rPr>
        <w:t> </w:t>
      </w:r>
      <w:r>
        <w:rPr>
          <w:sz w:val="24"/>
        </w:rPr>
        <w:t>dépôt</w:t>
      </w:r>
      <w:r>
        <w:rPr>
          <w:spacing w:val="-8"/>
          <w:sz w:val="24"/>
        </w:rPr>
        <w:t> </w:t>
      </w:r>
      <w:r>
        <w:rPr>
          <w:sz w:val="24"/>
        </w:rPr>
        <w:t>de</w:t>
      </w:r>
      <w:r>
        <w:rPr>
          <w:spacing w:val="-9"/>
          <w:sz w:val="24"/>
        </w:rPr>
        <w:t> </w:t>
      </w:r>
      <w:r>
        <w:rPr>
          <w:sz w:val="24"/>
        </w:rPr>
        <w:t>la</w:t>
      </w:r>
      <w:r>
        <w:rPr>
          <w:spacing w:val="-9"/>
          <w:sz w:val="24"/>
        </w:rPr>
        <w:t> </w:t>
      </w:r>
      <w:r>
        <w:rPr>
          <w:sz w:val="24"/>
        </w:rPr>
        <w:t>demande</w:t>
      </w:r>
      <w:r>
        <w:rPr>
          <w:spacing w:val="-10"/>
          <w:sz w:val="24"/>
        </w:rPr>
        <w:t> </w:t>
      </w:r>
      <w:r>
        <w:rPr>
          <w:sz w:val="24"/>
        </w:rPr>
        <w:t>de signe contesté, en mai 2023.</w:t>
      </w:r>
    </w:p>
    <w:p>
      <w:pPr>
        <w:pStyle w:val="BodyText"/>
        <w:spacing w:before="84"/>
      </w:pPr>
    </w:p>
    <w:p>
      <w:pPr>
        <w:spacing w:before="0"/>
        <w:ind w:left="590" w:right="0" w:firstLine="0"/>
        <w:jc w:val="left"/>
        <w:rPr>
          <w:i/>
          <w:sz w:val="24"/>
        </w:rPr>
      </w:pPr>
      <w:r>
        <w:rPr>
          <w:i/>
          <w:spacing w:val="-2"/>
          <w:sz w:val="24"/>
        </w:rPr>
        <w:t>Cosmétiques</w:t>
      </w:r>
    </w:p>
    <w:p>
      <w:pPr>
        <w:pStyle w:val="ListParagraph"/>
        <w:numPr>
          <w:ilvl w:val="0"/>
          <w:numId w:val="4"/>
        </w:numPr>
        <w:tabs>
          <w:tab w:pos="1017" w:val="left" w:leader="none"/>
        </w:tabs>
        <w:spacing w:line="240" w:lineRule="auto" w:before="240" w:after="0"/>
        <w:ind w:left="1017" w:right="0" w:hanging="427"/>
        <w:jc w:val="left"/>
        <w:rPr>
          <w:sz w:val="24"/>
        </w:rPr>
      </w:pPr>
      <w:r>
        <w:rPr>
          <w:sz w:val="24"/>
        </w:rPr>
        <w:t>La</w:t>
      </w:r>
      <w:r>
        <w:rPr>
          <w:spacing w:val="12"/>
          <w:sz w:val="24"/>
        </w:rPr>
        <w:t> </w:t>
      </w:r>
      <w:r>
        <w:rPr>
          <w:sz w:val="24"/>
        </w:rPr>
        <w:t>marque</w:t>
      </w:r>
      <w:r>
        <w:rPr>
          <w:spacing w:val="17"/>
          <w:sz w:val="24"/>
        </w:rPr>
        <w:t> </w:t>
      </w:r>
      <w:r>
        <w:rPr>
          <w:sz w:val="24"/>
        </w:rPr>
        <w:t>«no</w:t>
      </w:r>
      <w:r>
        <w:rPr>
          <w:spacing w:val="15"/>
          <w:sz w:val="24"/>
        </w:rPr>
        <w:t> </w:t>
      </w:r>
      <w:r>
        <w:rPr>
          <w:sz w:val="24"/>
        </w:rPr>
        <w:t>5»</w:t>
      </w:r>
      <w:r>
        <w:rPr>
          <w:spacing w:val="8"/>
          <w:sz w:val="24"/>
        </w:rPr>
        <w:t> </w:t>
      </w:r>
      <w:r>
        <w:rPr>
          <w:sz w:val="24"/>
        </w:rPr>
        <w:t>jouit</w:t>
      </w:r>
      <w:r>
        <w:rPr>
          <w:spacing w:val="17"/>
          <w:sz w:val="24"/>
        </w:rPr>
        <w:t> </w:t>
      </w:r>
      <w:r>
        <w:rPr>
          <w:sz w:val="24"/>
        </w:rPr>
        <w:t>également</w:t>
      </w:r>
      <w:r>
        <w:rPr>
          <w:spacing w:val="13"/>
          <w:sz w:val="24"/>
        </w:rPr>
        <w:t> </w:t>
      </w:r>
      <w:r>
        <w:rPr>
          <w:sz w:val="24"/>
        </w:rPr>
        <w:t>d’une</w:t>
      </w:r>
      <w:r>
        <w:rPr>
          <w:spacing w:val="11"/>
          <w:sz w:val="24"/>
        </w:rPr>
        <w:t> </w:t>
      </w:r>
      <w:r>
        <w:rPr>
          <w:sz w:val="24"/>
        </w:rPr>
        <w:t>très</w:t>
      </w:r>
      <w:r>
        <w:rPr>
          <w:spacing w:val="15"/>
          <w:sz w:val="24"/>
        </w:rPr>
        <w:t> </w:t>
      </w:r>
      <w:r>
        <w:rPr>
          <w:sz w:val="24"/>
        </w:rPr>
        <w:t>grande</w:t>
      </w:r>
      <w:r>
        <w:rPr>
          <w:spacing w:val="13"/>
          <w:sz w:val="24"/>
        </w:rPr>
        <w:t> </w:t>
      </w:r>
      <w:r>
        <w:rPr>
          <w:sz w:val="24"/>
        </w:rPr>
        <w:t>renommée</w:t>
      </w:r>
      <w:r>
        <w:rPr>
          <w:spacing w:val="14"/>
          <w:sz w:val="24"/>
        </w:rPr>
        <w:t> </w:t>
      </w:r>
      <w:r>
        <w:rPr>
          <w:sz w:val="24"/>
        </w:rPr>
        <w:t>en</w:t>
      </w:r>
      <w:r>
        <w:rPr>
          <w:spacing w:val="15"/>
          <w:sz w:val="24"/>
        </w:rPr>
        <w:t> </w:t>
      </w:r>
      <w:r>
        <w:rPr>
          <w:sz w:val="24"/>
        </w:rPr>
        <w:t>France</w:t>
      </w:r>
      <w:r>
        <w:rPr>
          <w:spacing w:val="12"/>
          <w:sz w:val="24"/>
        </w:rPr>
        <w:t> </w:t>
      </w:r>
      <w:r>
        <w:rPr>
          <w:sz w:val="24"/>
        </w:rPr>
        <w:t>pour</w:t>
      </w:r>
      <w:r>
        <w:rPr>
          <w:spacing w:val="13"/>
          <w:sz w:val="24"/>
        </w:rPr>
        <w:t> </w:t>
      </w:r>
      <w:r>
        <w:rPr>
          <w:spacing w:val="-5"/>
          <w:sz w:val="24"/>
        </w:rPr>
        <w:t>des</w:t>
      </w:r>
    </w:p>
    <w:p>
      <w:pPr>
        <w:spacing w:before="1"/>
        <w:ind w:left="1017" w:right="0" w:firstLine="0"/>
        <w:jc w:val="left"/>
        <w:rPr>
          <w:sz w:val="24"/>
        </w:rPr>
      </w:pPr>
      <w:r>
        <w:rPr>
          <w:i/>
          <w:sz w:val="24"/>
        </w:rPr>
        <w:t>produits</w:t>
      </w:r>
      <w:r>
        <w:rPr>
          <w:i/>
          <w:spacing w:val="-1"/>
          <w:sz w:val="24"/>
        </w:rPr>
        <w:t> </w:t>
      </w:r>
      <w:r>
        <w:rPr>
          <w:i/>
          <w:sz w:val="24"/>
        </w:rPr>
        <w:t>cosmétiques autres que</w:t>
      </w:r>
      <w:r>
        <w:rPr>
          <w:i/>
          <w:spacing w:val="-2"/>
          <w:sz w:val="24"/>
        </w:rPr>
        <w:t> </w:t>
      </w:r>
      <w:r>
        <w:rPr>
          <w:i/>
          <w:sz w:val="24"/>
        </w:rPr>
        <w:t>les </w:t>
      </w:r>
      <w:r>
        <w:rPr>
          <w:i/>
          <w:spacing w:val="-2"/>
          <w:sz w:val="24"/>
        </w:rPr>
        <w:t>parfums</w:t>
      </w:r>
      <w:r>
        <w:rPr>
          <w:spacing w:val="-2"/>
          <w:sz w:val="24"/>
        </w:rPr>
        <w:t>.</w:t>
      </w:r>
    </w:p>
    <w:p>
      <w:pPr>
        <w:pStyle w:val="ListParagraph"/>
        <w:numPr>
          <w:ilvl w:val="0"/>
          <w:numId w:val="4"/>
        </w:numPr>
        <w:tabs>
          <w:tab w:pos="1015" w:val="left" w:leader="none"/>
          <w:tab w:pos="1017" w:val="left" w:leader="none"/>
        </w:tabs>
        <w:spacing w:line="240" w:lineRule="auto" w:before="240" w:after="0"/>
        <w:ind w:left="1017" w:right="163" w:hanging="428"/>
        <w:jc w:val="both"/>
        <w:rPr>
          <w:sz w:val="24"/>
        </w:rPr>
      </w:pPr>
      <w:r>
        <w:rPr>
          <w:sz w:val="24"/>
        </w:rPr>
        <w:t>D’une</w:t>
      </w:r>
      <w:r>
        <w:rPr>
          <w:spacing w:val="-9"/>
          <w:sz w:val="24"/>
        </w:rPr>
        <w:t> </w:t>
      </w:r>
      <w:r>
        <w:rPr>
          <w:sz w:val="24"/>
        </w:rPr>
        <w:t>part,</w:t>
      </w:r>
      <w:r>
        <w:rPr>
          <w:spacing w:val="-9"/>
          <w:sz w:val="24"/>
        </w:rPr>
        <w:t> </w:t>
      </w:r>
      <w:r>
        <w:rPr>
          <w:sz w:val="24"/>
        </w:rPr>
        <w:t>cette</w:t>
      </w:r>
      <w:r>
        <w:rPr>
          <w:spacing w:val="-9"/>
          <w:sz w:val="24"/>
        </w:rPr>
        <w:t> </w:t>
      </w:r>
      <w:r>
        <w:rPr>
          <w:sz w:val="24"/>
        </w:rPr>
        <w:t>marque</w:t>
      </w:r>
      <w:r>
        <w:rPr>
          <w:spacing w:val="-9"/>
          <w:sz w:val="24"/>
        </w:rPr>
        <w:t> </w:t>
      </w:r>
      <w:r>
        <w:rPr>
          <w:sz w:val="24"/>
        </w:rPr>
        <w:t>a</w:t>
      </w:r>
      <w:r>
        <w:rPr>
          <w:spacing w:val="-9"/>
          <w:sz w:val="24"/>
        </w:rPr>
        <w:t> </w:t>
      </w:r>
      <w:r>
        <w:rPr>
          <w:sz w:val="24"/>
        </w:rPr>
        <w:t>fait</w:t>
      </w:r>
      <w:r>
        <w:rPr>
          <w:spacing w:val="-8"/>
          <w:sz w:val="24"/>
        </w:rPr>
        <w:t> </w:t>
      </w:r>
      <w:r>
        <w:rPr>
          <w:sz w:val="24"/>
        </w:rPr>
        <w:t>l’objet</w:t>
      </w:r>
      <w:r>
        <w:rPr>
          <w:spacing w:val="-8"/>
          <w:sz w:val="24"/>
        </w:rPr>
        <w:t> </w:t>
      </w:r>
      <w:r>
        <w:rPr>
          <w:sz w:val="24"/>
        </w:rPr>
        <w:t>d’un</w:t>
      </w:r>
      <w:r>
        <w:rPr>
          <w:spacing w:val="-9"/>
          <w:sz w:val="24"/>
        </w:rPr>
        <w:t> </w:t>
      </w:r>
      <w:r>
        <w:rPr>
          <w:sz w:val="24"/>
        </w:rPr>
        <w:t>usage</w:t>
      </w:r>
      <w:r>
        <w:rPr>
          <w:spacing w:val="-9"/>
          <w:sz w:val="24"/>
        </w:rPr>
        <w:t> </w:t>
      </w:r>
      <w:r>
        <w:rPr>
          <w:sz w:val="24"/>
        </w:rPr>
        <w:t>intensif</w:t>
      </w:r>
      <w:r>
        <w:rPr>
          <w:spacing w:val="-9"/>
          <w:sz w:val="24"/>
        </w:rPr>
        <w:t> </w:t>
      </w:r>
      <w:r>
        <w:rPr>
          <w:sz w:val="24"/>
        </w:rPr>
        <w:t>depuis</w:t>
      </w:r>
      <w:r>
        <w:rPr>
          <w:spacing w:val="-8"/>
          <w:sz w:val="24"/>
        </w:rPr>
        <w:t> </w:t>
      </w:r>
      <w:r>
        <w:rPr>
          <w:sz w:val="24"/>
        </w:rPr>
        <w:t>longtemps</w:t>
      </w:r>
      <w:r>
        <w:rPr>
          <w:spacing w:val="-8"/>
          <w:sz w:val="24"/>
        </w:rPr>
        <w:t> </w:t>
      </w:r>
      <w:r>
        <w:rPr>
          <w:sz w:val="24"/>
        </w:rPr>
        <w:t>en</w:t>
      </w:r>
      <w:r>
        <w:rPr>
          <w:spacing w:val="-8"/>
          <w:sz w:val="24"/>
        </w:rPr>
        <w:t> </w:t>
      </w:r>
      <w:r>
        <w:rPr>
          <w:sz w:val="24"/>
        </w:rPr>
        <w:t>France et dans le monde entier pour désigner des cosmétiques tels que crèmes, gels douche, rouge à lèvres et poudres (annexe 13).</w:t>
      </w:r>
    </w:p>
    <w:p>
      <w:pPr>
        <w:pStyle w:val="BodyText"/>
        <w:rPr>
          <w:sz w:val="18"/>
        </w:rPr>
      </w:pPr>
    </w:p>
    <w:p>
      <w:pPr>
        <w:pStyle w:val="BodyText"/>
        <w:rPr>
          <w:sz w:val="18"/>
        </w:rPr>
      </w:pPr>
    </w:p>
    <w:p>
      <w:pPr>
        <w:pStyle w:val="BodyText"/>
        <w:spacing w:before="37"/>
        <w:rPr>
          <w:sz w:val="18"/>
        </w:rPr>
      </w:pPr>
    </w:p>
    <w:p>
      <w:pPr>
        <w:spacing w:before="0"/>
        <w:ind w:left="2737" w:right="2738" w:firstLine="0"/>
        <w:jc w:val="center"/>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p>
      <w:pPr>
        <w:spacing w:after="0"/>
        <w:jc w:val="center"/>
        <w:rPr>
          <w:sz w:val="18"/>
        </w:rPr>
        <w:sectPr>
          <w:pgSz w:w="11910" w:h="16840"/>
          <w:pgMar w:header="970" w:footer="0" w:top="1180" w:bottom="280" w:left="1275" w:right="1275"/>
        </w:sectPr>
      </w:pPr>
    </w:p>
    <w:p>
      <w:pPr>
        <w:pStyle w:val="ListParagraph"/>
        <w:numPr>
          <w:ilvl w:val="0"/>
          <w:numId w:val="4"/>
        </w:numPr>
        <w:tabs>
          <w:tab w:pos="1015" w:val="left" w:leader="none"/>
          <w:tab w:pos="1017" w:val="left" w:leader="none"/>
        </w:tabs>
        <w:spacing w:line="240" w:lineRule="auto" w:before="249" w:after="0"/>
        <w:ind w:left="1017" w:right="163" w:hanging="428"/>
        <w:jc w:val="both"/>
        <w:rPr>
          <w:sz w:val="24"/>
        </w:rPr>
      </w:pPr>
      <w:r>
        <w:rPr>
          <w:sz w:val="24"/>
        </w:rPr>
        <mc:AlternateContent>
          <mc:Choice Requires="wps">
            <w:drawing>
              <wp:anchor distT="0" distB="0" distL="0" distR="0" allowOverlap="1" layoutInCell="1" locked="0" behindDoc="0" simplePos="0" relativeHeight="15742464">
                <wp:simplePos x="0" y="0"/>
                <wp:positionH relativeFrom="page">
                  <wp:posOffset>270575</wp:posOffset>
                </wp:positionH>
                <wp:positionV relativeFrom="page">
                  <wp:posOffset>1114363</wp:posOffset>
                </wp:positionV>
                <wp:extent cx="146050" cy="921004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146050" cy="9210040"/>
                        </a:xfrm>
                        <a:prstGeom prst="rect">
                          <a:avLst/>
                        </a:prstGeom>
                      </wps:spPr>
                      <wps:txbx>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wps:txbx>
                      <wps:bodyPr wrap="square" lIns="0" tIns="0" rIns="0" bIns="0" rtlCol="0" vert="vert270">
                        <a:noAutofit/>
                      </wps:bodyPr>
                    </wps:wsp>
                  </a:graphicData>
                </a:graphic>
              </wp:anchor>
            </w:drawing>
          </mc:Choice>
          <mc:Fallback>
            <w:pict>
              <v:shape style="position:absolute;margin-left:21.305176pt;margin-top:87.745193pt;width:11.5pt;height:725.2pt;mso-position-horizontal-relative:page;mso-position-vertical-relative:page;z-index:15742464" type="#_x0000_t202" id="docshape20" filled="false" stroked="false">
                <v:textbox inset="0,0,0,0" style="layout-flow:vertical;mso-layout-flow-alt:bottom-to-top">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v:textbox>
                <w10:wrap type="none"/>
              </v:shape>
            </w:pict>
          </mc:Fallback>
        </mc:AlternateContent>
      </w:r>
      <w:r>
        <w:rPr>
          <w:sz w:val="24"/>
        </w:rPr>
        <w:t>À</w:t>
      </w:r>
      <w:r>
        <w:rPr>
          <w:spacing w:val="-10"/>
          <w:sz w:val="24"/>
        </w:rPr>
        <w:t> </w:t>
      </w:r>
      <w:r>
        <w:rPr>
          <w:sz w:val="24"/>
        </w:rPr>
        <w:t>l’occasion</w:t>
      </w:r>
      <w:r>
        <w:rPr>
          <w:spacing w:val="-9"/>
          <w:sz w:val="24"/>
        </w:rPr>
        <w:t> </w:t>
      </w:r>
      <w:r>
        <w:rPr>
          <w:sz w:val="24"/>
        </w:rPr>
        <w:t>du</w:t>
      </w:r>
      <w:r>
        <w:rPr>
          <w:spacing w:val="-9"/>
          <w:sz w:val="24"/>
        </w:rPr>
        <w:t> </w:t>
      </w:r>
      <w:r>
        <w:rPr>
          <w:sz w:val="24"/>
        </w:rPr>
        <w:t>100e</w:t>
      </w:r>
      <w:r>
        <w:rPr>
          <w:spacing w:val="-10"/>
          <w:sz w:val="24"/>
        </w:rPr>
        <w:t> </w:t>
      </w:r>
      <w:r>
        <w:rPr>
          <w:sz w:val="24"/>
        </w:rPr>
        <w:t>anniversaire</w:t>
      </w:r>
      <w:r>
        <w:rPr>
          <w:spacing w:val="-10"/>
          <w:sz w:val="24"/>
        </w:rPr>
        <w:t> </w:t>
      </w:r>
      <w:r>
        <w:rPr>
          <w:sz w:val="24"/>
        </w:rPr>
        <w:t>du</w:t>
      </w:r>
      <w:r>
        <w:rPr>
          <w:spacing w:val="-9"/>
          <w:sz w:val="24"/>
        </w:rPr>
        <w:t> </w:t>
      </w:r>
      <w:r>
        <w:rPr>
          <w:sz w:val="24"/>
        </w:rPr>
        <w:t>parfum</w:t>
      </w:r>
      <w:r>
        <w:rPr>
          <w:spacing w:val="-4"/>
          <w:sz w:val="24"/>
        </w:rPr>
        <w:t> </w:t>
      </w:r>
      <w:r>
        <w:rPr>
          <w:sz w:val="24"/>
        </w:rPr>
        <w:t>«No</w:t>
      </w:r>
      <w:r>
        <w:rPr>
          <w:spacing w:val="-7"/>
          <w:sz w:val="24"/>
        </w:rPr>
        <w:t> </w:t>
      </w:r>
      <w:r>
        <w:rPr>
          <w:sz w:val="24"/>
        </w:rPr>
        <w:t>5»,</w:t>
      </w:r>
      <w:r>
        <w:rPr>
          <w:spacing w:val="-9"/>
          <w:sz w:val="24"/>
        </w:rPr>
        <w:t> </w:t>
      </w:r>
      <w:r>
        <w:rPr>
          <w:sz w:val="24"/>
        </w:rPr>
        <w:t>une</w:t>
      </w:r>
      <w:r>
        <w:rPr>
          <w:spacing w:val="-10"/>
          <w:sz w:val="24"/>
        </w:rPr>
        <w:t> </w:t>
      </w:r>
      <w:r>
        <w:rPr>
          <w:sz w:val="24"/>
        </w:rPr>
        <w:t>nouvelle</w:t>
      </w:r>
      <w:r>
        <w:rPr>
          <w:spacing w:val="-8"/>
          <w:sz w:val="24"/>
        </w:rPr>
        <w:t> </w:t>
      </w:r>
      <w:r>
        <w:rPr>
          <w:sz w:val="24"/>
        </w:rPr>
        <w:t>gamme</w:t>
      </w:r>
      <w:r>
        <w:rPr>
          <w:spacing w:val="-8"/>
          <w:sz w:val="24"/>
        </w:rPr>
        <w:t> </w:t>
      </w:r>
      <w:r>
        <w:rPr>
          <w:sz w:val="24"/>
        </w:rPr>
        <w:t>de</w:t>
      </w:r>
      <w:r>
        <w:rPr>
          <w:spacing w:val="-10"/>
          <w:sz w:val="24"/>
        </w:rPr>
        <w:t> </w:t>
      </w:r>
      <w:r>
        <w:rPr>
          <w:sz w:val="24"/>
        </w:rPr>
        <w:t>crèmes cosmétiques a été lancée sous la marque «No 5» et a donné lieu à de nombreuses campagnes publicitaires en France, notamment par l’intermédiaire de panneaux d’affichage (annexe 14).</w:t>
      </w:r>
    </w:p>
    <w:p>
      <w:pPr>
        <w:pStyle w:val="ListParagraph"/>
        <w:numPr>
          <w:ilvl w:val="0"/>
          <w:numId w:val="4"/>
        </w:numPr>
        <w:tabs>
          <w:tab w:pos="1015" w:val="left" w:leader="none"/>
          <w:tab w:pos="1017" w:val="left" w:leader="none"/>
        </w:tabs>
        <w:spacing w:line="240" w:lineRule="auto" w:before="238" w:after="0"/>
        <w:ind w:left="1017" w:right="164" w:hanging="428"/>
        <w:jc w:val="both"/>
        <w:rPr>
          <w:sz w:val="24"/>
        </w:rPr>
      </w:pPr>
      <w:r>
        <w:rPr>
          <w:sz w:val="24"/>
        </w:rPr>
        <w:t>Par</w:t>
      </w:r>
      <w:r>
        <w:rPr>
          <w:spacing w:val="-2"/>
          <w:sz w:val="24"/>
        </w:rPr>
        <w:t> </w:t>
      </w:r>
      <w:r>
        <w:rPr>
          <w:sz w:val="24"/>
        </w:rPr>
        <w:t>conséquent, la</w:t>
      </w:r>
      <w:r>
        <w:rPr>
          <w:spacing w:val="-2"/>
          <w:sz w:val="24"/>
        </w:rPr>
        <w:t> </w:t>
      </w:r>
      <w:r>
        <w:rPr>
          <w:sz w:val="24"/>
        </w:rPr>
        <w:t>renommée</w:t>
      </w:r>
      <w:r>
        <w:rPr>
          <w:spacing w:val="-3"/>
          <w:sz w:val="24"/>
        </w:rPr>
        <w:t> </w:t>
      </w:r>
      <w:r>
        <w:rPr>
          <w:sz w:val="24"/>
        </w:rPr>
        <w:t>exceptionnelle</w:t>
      </w:r>
      <w:r>
        <w:rPr>
          <w:spacing w:val="-2"/>
          <w:sz w:val="24"/>
        </w:rPr>
        <w:t> </w:t>
      </w:r>
      <w:r>
        <w:rPr>
          <w:sz w:val="24"/>
        </w:rPr>
        <w:t>en</w:t>
      </w:r>
      <w:r>
        <w:rPr>
          <w:spacing w:val="-1"/>
          <w:sz w:val="24"/>
        </w:rPr>
        <w:t> </w:t>
      </w:r>
      <w:r>
        <w:rPr>
          <w:sz w:val="24"/>
        </w:rPr>
        <w:t>France</w:t>
      </w:r>
      <w:r>
        <w:rPr>
          <w:spacing w:val="-2"/>
          <w:sz w:val="24"/>
        </w:rPr>
        <w:t> </w:t>
      </w:r>
      <w:r>
        <w:rPr>
          <w:sz w:val="24"/>
        </w:rPr>
        <w:t>de</w:t>
      </w:r>
      <w:r>
        <w:rPr>
          <w:spacing w:val="-2"/>
          <w:sz w:val="24"/>
        </w:rPr>
        <w:t> </w:t>
      </w:r>
      <w:r>
        <w:rPr>
          <w:sz w:val="24"/>
        </w:rPr>
        <w:t>la</w:t>
      </w:r>
      <w:r>
        <w:rPr>
          <w:spacing w:val="-2"/>
          <w:sz w:val="24"/>
        </w:rPr>
        <w:t> </w:t>
      </w:r>
      <w:r>
        <w:rPr>
          <w:sz w:val="24"/>
        </w:rPr>
        <w:t>marque «No</w:t>
      </w:r>
      <w:r>
        <w:rPr>
          <w:spacing w:val="-1"/>
          <w:sz w:val="24"/>
        </w:rPr>
        <w:t> </w:t>
      </w:r>
      <w:r>
        <w:rPr>
          <w:sz w:val="24"/>
        </w:rPr>
        <w:t>5»</w:t>
      </w:r>
      <w:r>
        <w:rPr>
          <w:spacing w:val="-4"/>
          <w:sz w:val="24"/>
        </w:rPr>
        <w:t> </w:t>
      </w:r>
      <w:r>
        <w:rPr>
          <w:sz w:val="24"/>
        </w:rPr>
        <w:t>pour</w:t>
      </w:r>
      <w:r>
        <w:rPr>
          <w:spacing w:val="-2"/>
          <w:sz w:val="24"/>
        </w:rPr>
        <w:t> </w:t>
      </w:r>
      <w:r>
        <w:rPr>
          <w:sz w:val="24"/>
        </w:rPr>
        <w:t>un parfum s’applique à la catégorie de produits cosmétiques à laquelle appartient ce </w:t>
      </w:r>
      <w:r>
        <w:rPr>
          <w:spacing w:val="-2"/>
          <w:sz w:val="24"/>
        </w:rPr>
        <w:t>produit.</w:t>
      </w:r>
    </w:p>
    <w:p>
      <w:pPr>
        <w:pStyle w:val="BodyText"/>
        <w:spacing w:before="247"/>
      </w:pPr>
    </w:p>
    <w:p>
      <w:pPr>
        <w:spacing w:before="0"/>
        <w:ind w:left="590" w:right="0" w:firstLine="0"/>
        <w:jc w:val="left"/>
        <w:rPr>
          <w:i/>
          <w:sz w:val="24"/>
        </w:rPr>
      </w:pPr>
      <w:r>
        <w:rPr>
          <w:i/>
          <w:sz w:val="24"/>
        </w:rPr>
        <w:drawing>
          <wp:anchor distT="0" distB="0" distL="0" distR="0" allowOverlap="1" layoutInCell="1" locked="0" behindDoc="0" simplePos="0" relativeHeight="15739392">
            <wp:simplePos x="0" y="0"/>
            <wp:positionH relativeFrom="page">
              <wp:posOffset>3448386</wp:posOffset>
            </wp:positionH>
            <wp:positionV relativeFrom="paragraph">
              <wp:posOffset>-68992</wp:posOffset>
            </wp:positionV>
            <wp:extent cx="122516" cy="181662"/>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8" cstate="print"/>
                    <a:stretch>
                      <a:fillRect/>
                    </a:stretch>
                  </pic:blipFill>
                  <pic:spPr>
                    <a:xfrm>
                      <a:off x="0" y="0"/>
                      <a:ext cx="122516" cy="181662"/>
                    </a:xfrm>
                    <a:prstGeom prst="rect">
                      <a:avLst/>
                    </a:prstGeom>
                  </pic:spPr>
                </pic:pic>
              </a:graphicData>
            </a:graphic>
          </wp:anchor>
        </w:drawing>
      </w:r>
      <w:r>
        <w:rPr>
          <w:i/>
          <w:sz w:val="24"/>
        </w:rPr>
        <w:t>Renommée</w:t>
      </w:r>
      <w:r>
        <w:rPr>
          <w:i/>
          <w:spacing w:val="-4"/>
          <w:sz w:val="24"/>
        </w:rPr>
        <w:t> </w:t>
      </w:r>
      <w:r>
        <w:rPr>
          <w:i/>
          <w:sz w:val="24"/>
        </w:rPr>
        <w:t>de</w:t>
      </w:r>
      <w:r>
        <w:rPr>
          <w:i/>
          <w:spacing w:val="-1"/>
          <w:sz w:val="24"/>
        </w:rPr>
        <w:t> </w:t>
      </w:r>
      <w:r>
        <w:rPr>
          <w:i/>
          <w:sz w:val="24"/>
        </w:rPr>
        <w:t>la</w:t>
      </w:r>
      <w:r>
        <w:rPr>
          <w:i/>
          <w:spacing w:val="-1"/>
          <w:sz w:val="24"/>
        </w:rPr>
        <w:t> </w:t>
      </w:r>
      <w:r>
        <w:rPr>
          <w:i/>
          <w:sz w:val="24"/>
        </w:rPr>
        <w:t>marque</w:t>
      </w:r>
      <w:r>
        <w:rPr>
          <w:i/>
          <w:spacing w:val="1"/>
          <w:sz w:val="24"/>
        </w:rPr>
        <w:t> </w:t>
      </w:r>
      <w:r>
        <w:rPr>
          <w:i/>
          <w:spacing w:val="-2"/>
          <w:sz w:val="24"/>
        </w:rPr>
        <w:t>antérieure</w:t>
      </w:r>
    </w:p>
    <w:p>
      <w:pPr>
        <w:pStyle w:val="BodyText"/>
        <w:spacing w:before="107"/>
        <w:rPr>
          <w:i/>
        </w:rPr>
      </w:pPr>
    </w:p>
    <w:p>
      <w:pPr>
        <w:pStyle w:val="ListParagraph"/>
        <w:numPr>
          <w:ilvl w:val="0"/>
          <w:numId w:val="4"/>
        </w:numPr>
        <w:tabs>
          <w:tab w:pos="1015" w:val="left" w:leader="none"/>
          <w:tab w:pos="1017" w:val="left" w:leader="none"/>
        </w:tabs>
        <w:spacing w:line="240" w:lineRule="auto" w:before="0" w:after="0"/>
        <w:ind w:left="1017" w:right="162" w:hanging="428"/>
        <w:jc w:val="both"/>
        <w:rPr>
          <w:sz w:val="24"/>
        </w:rPr>
      </w:pPr>
      <w:r>
        <w:rPr>
          <w:sz w:val="24"/>
        </w:rPr>
        <w:drawing>
          <wp:anchor distT="0" distB="0" distL="0" distR="0" allowOverlap="1" layoutInCell="1" locked="0" behindDoc="1" simplePos="0" relativeHeight="487065600">
            <wp:simplePos x="0" y="0"/>
            <wp:positionH relativeFrom="page">
              <wp:posOffset>3408636</wp:posOffset>
            </wp:positionH>
            <wp:positionV relativeFrom="paragraph">
              <wp:posOffset>-57025</wp:posOffset>
            </wp:positionV>
            <wp:extent cx="122516" cy="181662"/>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8" cstate="print"/>
                    <a:stretch>
                      <a:fillRect/>
                    </a:stretch>
                  </pic:blipFill>
                  <pic:spPr>
                    <a:xfrm>
                      <a:off x="0" y="0"/>
                      <a:ext cx="122516" cy="181662"/>
                    </a:xfrm>
                    <a:prstGeom prst="rect">
                      <a:avLst/>
                    </a:prstGeom>
                  </pic:spPr>
                </pic:pic>
              </a:graphicData>
            </a:graphic>
          </wp:anchor>
        </w:drawing>
      </w:r>
      <w:r>
        <w:rPr>
          <w:sz w:val="24"/>
        </w:rPr>
        <w:drawing>
          <wp:anchor distT="0" distB="0" distL="0" distR="0" allowOverlap="1" layoutInCell="1" locked="0" behindDoc="0" simplePos="0" relativeHeight="15740416">
            <wp:simplePos x="0" y="0"/>
            <wp:positionH relativeFrom="page">
              <wp:posOffset>3104343</wp:posOffset>
            </wp:positionH>
            <wp:positionV relativeFrom="paragraph">
              <wp:posOffset>396364</wp:posOffset>
            </wp:positionV>
            <wp:extent cx="122516" cy="181662"/>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8" cstate="print"/>
                    <a:stretch>
                      <a:fillRect/>
                    </a:stretch>
                  </pic:blipFill>
                  <pic:spPr>
                    <a:xfrm>
                      <a:off x="0" y="0"/>
                      <a:ext cx="122516" cy="181662"/>
                    </a:xfrm>
                    <a:prstGeom prst="rect">
                      <a:avLst/>
                    </a:prstGeom>
                  </pic:spPr>
                </pic:pic>
              </a:graphicData>
            </a:graphic>
          </wp:anchor>
        </w:drawing>
      </w:r>
      <w:r>
        <w:rPr>
          <w:sz w:val="24"/>
        </w:rPr>
        <w:t>La</w:t>
      </w:r>
      <w:r>
        <w:rPr>
          <w:spacing w:val="-13"/>
          <w:sz w:val="24"/>
        </w:rPr>
        <w:t> </w:t>
      </w:r>
      <w:r>
        <w:rPr>
          <w:sz w:val="24"/>
        </w:rPr>
        <w:t>marque</w:t>
      </w:r>
      <w:r>
        <w:rPr>
          <w:spacing w:val="-14"/>
          <w:sz w:val="24"/>
        </w:rPr>
        <w:t> </w:t>
      </w:r>
      <w:r>
        <w:rPr>
          <w:sz w:val="24"/>
        </w:rPr>
        <w:t>antérieure</w:t>
      </w:r>
      <w:r>
        <w:rPr>
          <w:spacing w:val="-13"/>
          <w:sz w:val="24"/>
        </w:rPr>
        <w:t> </w:t>
      </w:r>
      <w:r>
        <w:rPr>
          <w:sz w:val="24"/>
        </w:rPr>
        <w:t>bénéficie</w:t>
      </w:r>
      <w:r>
        <w:rPr>
          <w:spacing w:val="80"/>
          <w:w w:val="150"/>
          <w:sz w:val="24"/>
        </w:rPr>
        <w:t>  </w:t>
      </w:r>
      <w:r>
        <w:rPr>
          <w:sz w:val="24"/>
        </w:rPr>
        <w:t>également</w:t>
      </w:r>
      <w:r>
        <w:rPr>
          <w:spacing w:val="-12"/>
          <w:sz w:val="24"/>
        </w:rPr>
        <w:t> </w:t>
      </w:r>
      <w:r>
        <w:rPr>
          <w:sz w:val="24"/>
        </w:rPr>
        <w:t>d’une</w:t>
      </w:r>
      <w:r>
        <w:rPr>
          <w:spacing w:val="-14"/>
          <w:sz w:val="24"/>
        </w:rPr>
        <w:t> </w:t>
      </w:r>
      <w:r>
        <w:rPr>
          <w:sz w:val="24"/>
        </w:rPr>
        <w:t>forte</w:t>
      </w:r>
      <w:r>
        <w:rPr>
          <w:spacing w:val="-13"/>
          <w:sz w:val="24"/>
        </w:rPr>
        <w:t> </w:t>
      </w:r>
      <w:r>
        <w:rPr>
          <w:sz w:val="24"/>
        </w:rPr>
        <w:t>renommée</w:t>
      </w:r>
      <w:r>
        <w:rPr>
          <w:spacing w:val="-12"/>
          <w:sz w:val="24"/>
        </w:rPr>
        <w:t> </w:t>
      </w:r>
      <w:r>
        <w:rPr>
          <w:sz w:val="24"/>
        </w:rPr>
        <w:t>pour</w:t>
      </w:r>
      <w:r>
        <w:rPr>
          <w:spacing w:val="-13"/>
          <w:sz w:val="24"/>
        </w:rPr>
        <w:t> </w:t>
      </w:r>
      <w:r>
        <w:rPr>
          <w:sz w:val="24"/>
        </w:rPr>
        <w:t>les</w:t>
      </w:r>
      <w:r>
        <w:rPr>
          <w:spacing w:val="-12"/>
          <w:sz w:val="24"/>
        </w:rPr>
        <w:t> </w:t>
      </w:r>
      <w:r>
        <w:rPr>
          <w:sz w:val="24"/>
        </w:rPr>
        <w:t>parfums et</w:t>
      </w:r>
      <w:r>
        <w:rPr>
          <w:spacing w:val="18"/>
          <w:sz w:val="24"/>
        </w:rPr>
        <w:t> </w:t>
      </w:r>
      <w:r>
        <w:rPr>
          <w:sz w:val="24"/>
        </w:rPr>
        <w:t>les</w:t>
      </w:r>
      <w:r>
        <w:rPr>
          <w:spacing w:val="18"/>
          <w:sz w:val="24"/>
        </w:rPr>
        <w:t> </w:t>
      </w:r>
      <w:r>
        <w:rPr>
          <w:sz w:val="24"/>
        </w:rPr>
        <w:t>cosmétiques.</w:t>
      </w:r>
      <w:r>
        <w:rPr>
          <w:spacing w:val="20"/>
          <w:sz w:val="24"/>
        </w:rPr>
        <w:t> </w:t>
      </w:r>
      <w:r>
        <w:rPr>
          <w:sz w:val="24"/>
        </w:rPr>
        <w:t>La</w:t>
      </w:r>
      <w:r>
        <w:rPr>
          <w:spacing w:val="17"/>
          <w:sz w:val="24"/>
        </w:rPr>
        <w:t> </w:t>
      </w:r>
      <w:r>
        <w:rPr>
          <w:sz w:val="24"/>
        </w:rPr>
        <w:t>marque</w:t>
      </w:r>
      <w:r>
        <w:rPr>
          <w:spacing w:val="20"/>
          <w:sz w:val="24"/>
        </w:rPr>
        <w:t> </w:t>
      </w:r>
      <w:r>
        <w:rPr>
          <w:sz w:val="24"/>
        </w:rPr>
        <w:t>«No</w:t>
      </w:r>
      <w:r>
        <w:rPr>
          <w:spacing w:val="18"/>
          <w:sz w:val="24"/>
        </w:rPr>
        <w:t> </w:t>
      </w:r>
      <w:r>
        <w:rPr>
          <w:sz w:val="24"/>
        </w:rPr>
        <w:t>5» elle-même</w:t>
      </w:r>
      <w:r>
        <w:rPr>
          <w:spacing w:val="19"/>
          <w:sz w:val="24"/>
        </w:rPr>
        <w:t> </w:t>
      </w:r>
      <w:r>
        <w:rPr>
          <w:sz w:val="24"/>
        </w:rPr>
        <w:t>est</w:t>
      </w:r>
      <w:r>
        <w:rPr>
          <w:spacing w:val="19"/>
          <w:sz w:val="24"/>
        </w:rPr>
        <w:t> </w:t>
      </w:r>
      <w:r>
        <w:rPr>
          <w:sz w:val="24"/>
        </w:rPr>
        <w:t>tellement</w:t>
      </w:r>
      <w:r>
        <w:rPr>
          <w:spacing w:val="18"/>
          <w:sz w:val="24"/>
        </w:rPr>
        <w:t> </w:t>
      </w:r>
      <w:r>
        <w:rPr>
          <w:sz w:val="24"/>
        </w:rPr>
        <w:t>connue</w:t>
      </w:r>
      <w:r>
        <w:rPr>
          <w:spacing w:val="17"/>
          <w:sz w:val="24"/>
        </w:rPr>
        <w:t> </w:t>
      </w:r>
      <w:r>
        <w:rPr>
          <w:sz w:val="24"/>
        </w:rPr>
        <w:t>que</w:t>
      </w:r>
      <w:r>
        <w:rPr>
          <w:spacing w:val="17"/>
          <w:sz w:val="24"/>
        </w:rPr>
        <w:t> </w:t>
      </w:r>
      <w:r>
        <w:rPr>
          <w:sz w:val="24"/>
        </w:rPr>
        <w:t>Chanel</w:t>
      </w:r>
    </w:p>
    <w:p>
      <w:pPr>
        <w:pStyle w:val="BodyText"/>
        <w:spacing w:before="163"/>
        <w:ind w:left="1017" w:right="162"/>
        <w:jc w:val="both"/>
      </w:pPr>
      <w:r>
        <w:rPr/>
        <w:t>utilise souvent la marque</w:t>
      </w:r>
      <w:r>
        <w:rPr>
          <w:spacing w:val="80"/>
        </w:rPr>
        <w:t> </w:t>
      </w:r>
      <w:r>
        <w:rPr/>
        <w:t>, seule ou isolément, pour désigner ou évoquer cette marque mythique (annexe 20). C’est le cas dans les publicités nationales, comme la campagne de 2014 avec un modèle célèbre Gisele Bündchen (annexe 15).</w:t>
      </w:r>
    </w:p>
    <w:p>
      <w:pPr>
        <w:pStyle w:val="BodyText"/>
        <w:spacing w:before="108"/>
      </w:pPr>
    </w:p>
    <w:p>
      <w:pPr>
        <w:pStyle w:val="ListParagraph"/>
        <w:numPr>
          <w:ilvl w:val="0"/>
          <w:numId w:val="4"/>
        </w:numPr>
        <w:tabs>
          <w:tab w:pos="1015" w:val="left" w:leader="none"/>
          <w:tab w:pos="1017" w:val="left" w:leader="none"/>
        </w:tabs>
        <w:spacing w:line="240" w:lineRule="auto" w:before="0" w:after="0"/>
        <w:ind w:left="1017" w:right="161" w:hanging="428"/>
        <w:jc w:val="both"/>
        <w:rPr>
          <w:sz w:val="24"/>
        </w:rPr>
      </w:pPr>
      <w:r>
        <w:rPr>
          <w:sz w:val="24"/>
        </w:rPr>
        <w:drawing>
          <wp:anchor distT="0" distB="0" distL="0" distR="0" allowOverlap="1" layoutInCell="1" locked="0" behindDoc="1" simplePos="0" relativeHeight="487066624">
            <wp:simplePos x="0" y="0"/>
            <wp:positionH relativeFrom="page">
              <wp:posOffset>4880947</wp:posOffset>
            </wp:positionH>
            <wp:positionV relativeFrom="paragraph">
              <wp:posOffset>-57727</wp:posOffset>
            </wp:positionV>
            <wp:extent cx="122516" cy="181662"/>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8" cstate="print"/>
                    <a:stretch>
                      <a:fillRect/>
                    </a:stretch>
                  </pic:blipFill>
                  <pic:spPr>
                    <a:xfrm>
                      <a:off x="0" y="0"/>
                      <a:ext cx="122516" cy="181662"/>
                    </a:xfrm>
                    <a:prstGeom prst="rect">
                      <a:avLst/>
                    </a:prstGeom>
                  </pic:spPr>
                </pic:pic>
              </a:graphicData>
            </a:graphic>
          </wp:anchor>
        </w:drawing>
      </w:r>
      <w:r>
        <w:rPr>
          <w:sz w:val="24"/>
        </w:rPr>
        <w:t>Par</w:t>
      </w:r>
      <w:r>
        <w:rPr>
          <w:spacing w:val="-10"/>
          <w:sz w:val="24"/>
        </w:rPr>
        <w:t> </w:t>
      </w:r>
      <w:r>
        <w:rPr>
          <w:sz w:val="24"/>
        </w:rPr>
        <w:t>conséquent,</w:t>
      </w:r>
      <w:r>
        <w:rPr>
          <w:spacing w:val="-9"/>
          <w:sz w:val="24"/>
        </w:rPr>
        <w:t> </w:t>
      </w:r>
      <w:r>
        <w:rPr>
          <w:sz w:val="24"/>
        </w:rPr>
        <w:t>la</w:t>
      </w:r>
      <w:r>
        <w:rPr>
          <w:spacing w:val="-10"/>
          <w:sz w:val="24"/>
        </w:rPr>
        <w:t> </w:t>
      </w:r>
      <w:r>
        <w:rPr>
          <w:sz w:val="24"/>
        </w:rPr>
        <w:t>presse</w:t>
      </w:r>
      <w:r>
        <w:rPr>
          <w:spacing w:val="-8"/>
          <w:sz w:val="24"/>
        </w:rPr>
        <w:t> </w:t>
      </w:r>
      <w:r>
        <w:rPr>
          <w:sz w:val="24"/>
        </w:rPr>
        <w:t>fait</w:t>
      </w:r>
      <w:r>
        <w:rPr>
          <w:spacing w:val="-9"/>
          <w:sz w:val="24"/>
        </w:rPr>
        <w:t> </w:t>
      </w:r>
      <w:r>
        <w:rPr>
          <w:sz w:val="24"/>
        </w:rPr>
        <w:t>référence</w:t>
      </w:r>
      <w:r>
        <w:rPr>
          <w:spacing w:val="-11"/>
          <w:sz w:val="24"/>
        </w:rPr>
        <w:t> </w:t>
      </w:r>
      <w:r>
        <w:rPr>
          <w:sz w:val="24"/>
        </w:rPr>
        <w:t>à</w:t>
      </w:r>
      <w:r>
        <w:rPr>
          <w:spacing w:val="-11"/>
          <w:sz w:val="24"/>
        </w:rPr>
        <w:t> </w:t>
      </w:r>
      <w:r>
        <w:rPr>
          <w:sz w:val="24"/>
        </w:rPr>
        <w:t>la</w:t>
      </w:r>
      <w:r>
        <w:rPr>
          <w:spacing w:val="-10"/>
          <w:sz w:val="24"/>
        </w:rPr>
        <w:t> </w:t>
      </w:r>
      <w:r>
        <w:rPr>
          <w:sz w:val="24"/>
        </w:rPr>
        <w:t>marque,</w:t>
      </w:r>
      <w:r>
        <w:rPr>
          <w:spacing w:val="-10"/>
          <w:sz w:val="24"/>
        </w:rPr>
        <w:t> </w:t>
      </w:r>
      <w:r>
        <w:rPr>
          <w:sz w:val="24"/>
        </w:rPr>
        <w:t>par</w:t>
      </w:r>
      <w:r>
        <w:rPr>
          <w:spacing w:val="80"/>
          <w:sz w:val="24"/>
        </w:rPr>
        <w:t>  </w:t>
      </w:r>
      <w:r>
        <w:rPr>
          <w:sz w:val="24"/>
        </w:rPr>
        <w:t>exemple,</w:t>
      </w:r>
      <w:r>
        <w:rPr>
          <w:spacing w:val="-10"/>
          <w:sz w:val="24"/>
        </w:rPr>
        <w:t> </w:t>
      </w:r>
      <w:r>
        <w:rPr>
          <w:sz w:val="24"/>
        </w:rPr>
        <w:t>sur</w:t>
      </w:r>
      <w:r>
        <w:rPr>
          <w:spacing w:val="-10"/>
          <w:sz w:val="24"/>
        </w:rPr>
        <w:t> </w:t>
      </w:r>
      <w:r>
        <w:rPr>
          <w:sz w:val="24"/>
        </w:rPr>
        <w:t>la</w:t>
      </w:r>
      <w:r>
        <w:rPr>
          <w:spacing w:val="-10"/>
          <w:sz w:val="24"/>
        </w:rPr>
        <w:t> </w:t>
      </w:r>
      <w:r>
        <w:rPr>
          <w:sz w:val="24"/>
        </w:rPr>
        <w:t>couverture du</w:t>
      </w:r>
      <w:r>
        <w:rPr>
          <w:spacing w:val="-8"/>
          <w:sz w:val="24"/>
        </w:rPr>
        <w:t> </w:t>
      </w:r>
      <w:r>
        <w:rPr>
          <w:sz w:val="24"/>
        </w:rPr>
        <w:t>magazine</w:t>
      </w:r>
      <w:r>
        <w:rPr>
          <w:spacing w:val="-8"/>
          <w:sz w:val="24"/>
        </w:rPr>
        <w:t> </w:t>
      </w:r>
      <w:r>
        <w:rPr>
          <w:i/>
          <w:sz w:val="24"/>
        </w:rPr>
        <w:t>Numero</w:t>
      </w:r>
      <w:r>
        <w:rPr>
          <w:i/>
          <w:spacing w:val="-7"/>
          <w:sz w:val="24"/>
        </w:rPr>
        <w:t> </w:t>
      </w:r>
      <w:r>
        <w:rPr>
          <w:sz w:val="24"/>
        </w:rPr>
        <w:t>avec</w:t>
      </w:r>
      <w:r>
        <w:rPr>
          <w:spacing w:val="-9"/>
          <w:sz w:val="24"/>
        </w:rPr>
        <w:t> </w:t>
      </w:r>
      <w:r>
        <w:rPr>
          <w:sz w:val="24"/>
        </w:rPr>
        <w:t>le</w:t>
      </w:r>
      <w:r>
        <w:rPr>
          <w:spacing w:val="-9"/>
          <w:sz w:val="24"/>
        </w:rPr>
        <w:t> </w:t>
      </w:r>
      <w:r>
        <w:rPr>
          <w:sz w:val="24"/>
        </w:rPr>
        <w:t>modèle</w:t>
      </w:r>
      <w:r>
        <w:rPr>
          <w:spacing w:val="-5"/>
          <w:sz w:val="24"/>
        </w:rPr>
        <w:t> </w:t>
      </w:r>
      <w:r>
        <w:rPr>
          <w:sz w:val="24"/>
        </w:rPr>
        <w:t>Lilly-Rose</w:t>
      </w:r>
      <w:r>
        <w:rPr>
          <w:spacing w:val="-7"/>
          <w:sz w:val="24"/>
        </w:rPr>
        <w:t> </w:t>
      </w:r>
      <w:r>
        <w:rPr>
          <w:sz w:val="24"/>
        </w:rPr>
        <w:t>Depp;</w:t>
      </w:r>
      <w:r>
        <w:rPr>
          <w:spacing w:val="-8"/>
          <w:sz w:val="24"/>
        </w:rPr>
        <w:t> </w:t>
      </w:r>
      <w:r>
        <w:rPr>
          <w:sz w:val="24"/>
        </w:rPr>
        <w:t>le</w:t>
      </w:r>
      <w:r>
        <w:rPr>
          <w:spacing w:val="-9"/>
          <w:sz w:val="24"/>
        </w:rPr>
        <w:t> </w:t>
      </w:r>
      <w:r>
        <w:rPr>
          <w:sz w:val="24"/>
        </w:rPr>
        <w:t>journal</w:t>
      </w:r>
      <w:r>
        <w:rPr>
          <w:spacing w:val="-7"/>
          <w:sz w:val="24"/>
        </w:rPr>
        <w:t> </w:t>
      </w:r>
      <w:r>
        <w:rPr>
          <w:i/>
          <w:sz w:val="24"/>
        </w:rPr>
        <w:t>Le</w:t>
      </w:r>
      <w:r>
        <w:rPr>
          <w:i/>
          <w:spacing w:val="-7"/>
          <w:sz w:val="24"/>
        </w:rPr>
        <w:t> </w:t>
      </w:r>
      <w:r>
        <w:rPr>
          <w:i/>
          <w:sz w:val="24"/>
        </w:rPr>
        <w:t>Monde</w:t>
      </w:r>
      <w:r>
        <w:rPr>
          <w:sz w:val="24"/>
        </w:rPr>
        <w:t>,</w:t>
      </w:r>
      <w:r>
        <w:rPr>
          <w:spacing w:val="-6"/>
          <w:sz w:val="24"/>
        </w:rPr>
        <w:t> </w:t>
      </w:r>
      <w:r>
        <w:rPr>
          <w:sz w:val="24"/>
        </w:rPr>
        <w:t>en</w:t>
      </w:r>
      <w:r>
        <w:rPr>
          <w:spacing w:val="-8"/>
          <w:sz w:val="24"/>
        </w:rPr>
        <w:t> </w:t>
      </w:r>
      <w:r>
        <w:rPr>
          <w:sz w:val="24"/>
        </w:rPr>
        <w:t>2021,</w:t>
      </w:r>
    </w:p>
    <w:p>
      <w:pPr>
        <w:pStyle w:val="BodyText"/>
        <w:ind w:left="1017" w:right="157"/>
        <w:jc w:val="both"/>
      </w:pPr>
      <w:r>
        <w:rPr/>
        <w:t>«5, Chiffre de légende» — «5, legend number». Le célèbre Chanel no 5 fête son</w:t>
      </w:r>
      <w:r>
        <w:rPr>
          <w:vertAlign w:val="superscript"/>
        </w:rPr>
        <w:t>100e</w:t>
      </w:r>
      <w:r>
        <w:rPr>
          <w:vertAlign w:val="baseline"/>
        </w:rPr>
        <w:t> anniversaire. Pour en rendre compte, la Maison a imaginé une collection haute de bijoux composée de 123 pièces» (voir annexe 16).</w:t>
      </w:r>
    </w:p>
    <w:p>
      <w:pPr>
        <w:pStyle w:val="BodyText"/>
        <w:spacing w:before="107"/>
      </w:pPr>
    </w:p>
    <w:p>
      <w:pPr>
        <w:pStyle w:val="ListParagraph"/>
        <w:numPr>
          <w:ilvl w:val="0"/>
          <w:numId w:val="4"/>
        </w:numPr>
        <w:tabs>
          <w:tab w:pos="1015" w:val="left" w:leader="none"/>
          <w:tab w:pos="1017" w:val="left" w:leader="none"/>
        </w:tabs>
        <w:spacing w:line="240" w:lineRule="auto" w:before="0" w:after="0"/>
        <w:ind w:left="1017" w:right="164" w:hanging="428"/>
        <w:jc w:val="both"/>
        <w:rPr>
          <w:sz w:val="24"/>
        </w:rPr>
      </w:pPr>
      <w:r>
        <w:rPr>
          <w:sz w:val="24"/>
        </w:rPr>
        <w:drawing>
          <wp:anchor distT="0" distB="0" distL="0" distR="0" allowOverlap="1" layoutInCell="1" locked="0" behindDoc="1" simplePos="0" relativeHeight="487067136">
            <wp:simplePos x="0" y="0"/>
            <wp:positionH relativeFrom="page">
              <wp:posOffset>2096598</wp:posOffset>
            </wp:positionH>
            <wp:positionV relativeFrom="paragraph">
              <wp:posOffset>-57159</wp:posOffset>
            </wp:positionV>
            <wp:extent cx="122516" cy="181662"/>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8" cstate="print"/>
                    <a:stretch>
                      <a:fillRect/>
                    </a:stretch>
                  </pic:blipFill>
                  <pic:spPr>
                    <a:xfrm>
                      <a:off x="0" y="0"/>
                      <a:ext cx="122516" cy="181662"/>
                    </a:xfrm>
                    <a:prstGeom prst="rect">
                      <a:avLst/>
                    </a:prstGeom>
                  </pic:spPr>
                </pic:pic>
              </a:graphicData>
            </a:graphic>
          </wp:anchor>
        </w:drawing>
      </w:r>
      <w:r>
        <w:rPr>
          <w:sz w:val="24"/>
        </w:rPr>
        <w:t>Le signe</w:t>
      </w:r>
      <w:r>
        <w:rPr>
          <w:spacing w:val="40"/>
          <w:sz w:val="24"/>
        </w:rPr>
        <w:t>  </w:t>
      </w:r>
      <w:r>
        <w:rPr>
          <w:sz w:val="24"/>
        </w:rPr>
        <w:t>est également utilisé sur les cachets spécialement émis pour le 100e anniversaire de la marque (annexe 9) et a été largement reproduit pour l’exposition organisée en 2022 au </w:t>
      </w:r>
      <w:r>
        <w:rPr>
          <w:i/>
          <w:sz w:val="24"/>
        </w:rPr>
        <w:t>Grand Palais Ephmatière </w:t>
      </w:r>
      <w:r>
        <w:rPr>
          <w:sz w:val="24"/>
        </w:rPr>
        <w:t>à Paris (annexe 17).</w:t>
      </w:r>
    </w:p>
    <w:p>
      <w:pPr>
        <w:pStyle w:val="BodyText"/>
        <w:spacing w:before="86"/>
      </w:pPr>
    </w:p>
    <w:p>
      <w:pPr>
        <w:spacing w:before="0"/>
        <w:ind w:left="590" w:right="0" w:firstLine="0"/>
        <w:jc w:val="left"/>
        <w:rPr>
          <w:i/>
          <w:sz w:val="24"/>
        </w:rPr>
      </w:pPr>
      <w:r>
        <w:rPr>
          <w:i/>
          <w:sz w:val="24"/>
        </w:rPr>
        <w:t>Renommée</w:t>
      </w:r>
      <w:r>
        <w:rPr>
          <w:i/>
          <w:spacing w:val="-4"/>
          <w:sz w:val="24"/>
        </w:rPr>
        <w:t> </w:t>
      </w:r>
      <w:r>
        <w:rPr>
          <w:i/>
          <w:sz w:val="24"/>
        </w:rPr>
        <w:t>acquise</w:t>
      </w:r>
      <w:r>
        <w:rPr>
          <w:i/>
          <w:spacing w:val="-1"/>
          <w:sz w:val="24"/>
        </w:rPr>
        <w:t> </w:t>
      </w:r>
      <w:r>
        <w:rPr>
          <w:i/>
          <w:sz w:val="24"/>
        </w:rPr>
        <w:t>par</w:t>
      </w:r>
      <w:r>
        <w:rPr>
          <w:i/>
          <w:spacing w:val="-2"/>
          <w:sz w:val="24"/>
        </w:rPr>
        <w:t> </w:t>
      </w:r>
      <w:r>
        <w:rPr>
          <w:i/>
          <w:sz w:val="24"/>
        </w:rPr>
        <w:t>l’usage</w:t>
      </w:r>
      <w:r>
        <w:rPr>
          <w:i/>
          <w:spacing w:val="-2"/>
          <w:sz w:val="24"/>
        </w:rPr>
        <w:t> </w:t>
      </w:r>
      <w:r>
        <w:rPr>
          <w:i/>
          <w:sz w:val="24"/>
        </w:rPr>
        <w:t>de</w:t>
      </w:r>
      <w:r>
        <w:rPr>
          <w:i/>
          <w:spacing w:val="-2"/>
          <w:sz w:val="24"/>
        </w:rPr>
        <w:t> </w:t>
      </w:r>
      <w:r>
        <w:rPr>
          <w:i/>
          <w:sz w:val="24"/>
        </w:rPr>
        <w:t>la</w:t>
      </w:r>
      <w:r>
        <w:rPr>
          <w:i/>
          <w:spacing w:val="-1"/>
          <w:sz w:val="24"/>
        </w:rPr>
        <w:t> </w:t>
      </w:r>
      <w:r>
        <w:rPr>
          <w:i/>
          <w:sz w:val="24"/>
        </w:rPr>
        <w:t>marque</w:t>
      </w:r>
      <w:r>
        <w:rPr>
          <w:i/>
          <w:spacing w:val="-2"/>
          <w:sz w:val="24"/>
        </w:rPr>
        <w:t> </w:t>
      </w:r>
      <w:r>
        <w:rPr>
          <w:i/>
          <w:sz w:val="24"/>
        </w:rPr>
        <w:t>«no</w:t>
      </w:r>
      <w:r>
        <w:rPr>
          <w:i/>
          <w:spacing w:val="2"/>
          <w:sz w:val="24"/>
        </w:rPr>
        <w:t> </w:t>
      </w:r>
      <w:r>
        <w:rPr>
          <w:i/>
          <w:spacing w:val="-5"/>
          <w:sz w:val="24"/>
        </w:rPr>
        <w:t>5»</w:t>
      </w:r>
    </w:p>
    <w:p>
      <w:pPr>
        <w:pStyle w:val="ListParagraph"/>
        <w:numPr>
          <w:ilvl w:val="0"/>
          <w:numId w:val="4"/>
        </w:numPr>
        <w:tabs>
          <w:tab w:pos="1017" w:val="left" w:leader="none"/>
        </w:tabs>
        <w:spacing w:line="240" w:lineRule="auto" w:before="240" w:after="0"/>
        <w:ind w:left="1017" w:right="167" w:hanging="428"/>
        <w:jc w:val="left"/>
        <w:rPr>
          <w:sz w:val="24"/>
        </w:rPr>
      </w:pPr>
      <w:r>
        <w:rPr>
          <w:sz w:val="24"/>
        </w:rPr>
        <w:t>Dans</w:t>
      </w:r>
      <w:r>
        <w:rPr>
          <w:spacing w:val="36"/>
          <w:sz w:val="24"/>
        </w:rPr>
        <w:t> </w:t>
      </w:r>
      <w:r>
        <w:rPr>
          <w:sz w:val="24"/>
        </w:rPr>
        <w:t>la</w:t>
      </w:r>
      <w:r>
        <w:rPr>
          <w:spacing w:val="36"/>
          <w:sz w:val="24"/>
        </w:rPr>
        <w:t> </w:t>
      </w:r>
      <w:r>
        <w:rPr>
          <w:sz w:val="24"/>
        </w:rPr>
        <w:t>marque</w:t>
      </w:r>
      <w:r>
        <w:rPr>
          <w:spacing w:val="38"/>
          <w:sz w:val="24"/>
        </w:rPr>
        <w:t> </w:t>
      </w:r>
      <w:r>
        <w:rPr>
          <w:sz w:val="24"/>
        </w:rPr>
        <w:t>antérieure</w:t>
      </w:r>
      <w:r>
        <w:rPr>
          <w:spacing w:val="39"/>
          <w:sz w:val="24"/>
        </w:rPr>
        <w:t> </w:t>
      </w:r>
      <w:r>
        <w:rPr>
          <w:sz w:val="24"/>
        </w:rPr>
        <w:t>«No</w:t>
      </w:r>
      <w:r>
        <w:rPr>
          <w:spacing w:val="36"/>
          <w:sz w:val="24"/>
        </w:rPr>
        <w:t> </w:t>
      </w:r>
      <w:r>
        <w:rPr>
          <w:sz w:val="24"/>
        </w:rPr>
        <w:t>5»,</w:t>
      </w:r>
      <w:r>
        <w:rPr>
          <w:spacing w:val="38"/>
          <w:sz w:val="24"/>
        </w:rPr>
        <w:t> </w:t>
      </w:r>
      <w:r>
        <w:rPr>
          <w:sz w:val="24"/>
        </w:rPr>
        <w:t>l’élément</w:t>
      </w:r>
      <w:r>
        <w:rPr>
          <w:spacing w:val="40"/>
          <w:sz w:val="24"/>
        </w:rPr>
        <w:t> </w:t>
      </w:r>
      <w:r>
        <w:rPr>
          <w:sz w:val="24"/>
        </w:rPr>
        <w:t>«No»</w:t>
      </w:r>
      <w:r>
        <w:rPr>
          <w:spacing w:val="29"/>
          <w:sz w:val="24"/>
        </w:rPr>
        <w:t> </w:t>
      </w:r>
      <w:r>
        <w:rPr>
          <w:sz w:val="24"/>
        </w:rPr>
        <w:t>fait</w:t>
      </w:r>
      <w:r>
        <w:rPr>
          <w:spacing w:val="37"/>
          <w:sz w:val="24"/>
        </w:rPr>
        <w:t> </w:t>
      </w:r>
      <w:r>
        <w:rPr>
          <w:sz w:val="24"/>
        </w:rPr>
        <w:t>directement</w:t>
      </w:r>
      <w:r>
        <w:rPr>
          <w:spacing w:val="37"/>
          <w:sz w:val="24"/>
        </w:rPr>
        <w:t> </w:t>
      </w:r>
      <w:r>
        <w:rPr>
          <w:sz w:val="24"/>
        </w:rPr>
        <w:t>référence</w:t>
      </w:r>
      <w:r>
        <w:rPr>
          <w:spacing w:val="35"/>
          <w:sz w:val="24"/>
        </w:rPr>
        <w:t> </w:t>
      </w:r>
      <w:r>
        <w:rPr>
          <w:sz w:val="24"/>
        </w:rPr>
        <w:t>au nombre «5» et souligne son importance en précisant le numéro attribué. Ce nombre</w:t>
      </w:r>
    </w:p>
    <w:p>
      <w:pPr>
        <w:pStyle w:val="BodyText"/>
        <w:tabs>
          <w:tab w:pos="6293" w:val="left" w:leader="none"/>
        </w:tabs>
        <w:spacing w:line="381" w:lineRule="auto"/>
        <w:ind w:left="1017" w:right="164"/>
      </w:pPr>
      <w:r>
        <w:rPr/>
        <w:drawing>
          <wp:anchor distT="0" distB="0" distL="0" distR="0" allowOverlap="1" layoutInCell="1" locked="0" behindDoc="1" simplePos="0" relativeHeight="487067648">
            <wp:simplePos x="0" y="0"/>
            <wp:positionH relativeFrom="page">
              <wp:posOffset>4603324</wp:posOffset>
            </wp:positionH>
            <wp:positionV relativeFrom="paragraph">
              <wp:posOffset>207679</wp:posOffset>
            </wp:positionV>
            <wp:extent cx="122516" cy="181662"/>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8" cstate="print"/>
                    <a:stretch>
                      <a:fillRect/>
                    </a:stretch>
                  </pic:blipFill>
                  <pic:spPr>
                    <a:xfrm>
                      <a:off x="0" y="0"/>
                      <a:ext cx="122516" cy="181662"/>
                    </a:xfrm>
                    <a:prstGeom prst="rect">
                      <a:avLst/>
                    </a:prstGeom>
                  </pic:spPr>
                </pic:pic>
              </a:graphicData>
            </a:graphic>
          </wp:anchor>
        </w:drawing>
      </w:r>
      <w:r>
        <w:rPr/>
        <w:t>«5»</w:t>
      </w:r>
      <w:r>
        <w:rPr>
          <w:spacing w:val="-6"/>
        </w:rPr>
        <w:t> </w:t>
      </w:r>
      <w:r>
        <w:rPr/>
        <w:t>est</w:t>
      </w:r>
      <w:r>
        <w:rPr>
          <w:spacing w:val="-1"/>
        </w:rPr>
        <w:t> </w:t>
      </w:r>
      <w:r>
        <w:rPr/>
        <w:t>donc</w:t>
      </w:r>
      <w:r>
        <w:rPr>
          <w:spacing w:val="-2"/>
        </w:rPr>
        <w:t> </w:t>
      </w:r>
      <w:r>
        <w:rPr/>
        <w:t>l’élément</w:t>
      </w:r>
      <w:r>
        <w:rPr>
          <w:spacing w:val="-1"/>
        </w:rPr>
        <w:t> </w:t>
      </w:r>
      <w:r>
        <w:rPr/>
        <w:t>qui</w:t>
      </w:r>
      <w:r>
        <w:rPr>
          <w:spacing w:val="-1"/>
        </w:rPr>
        <w:t> </w:t>
      </w:r>
      <w:r>
        <w:rPr/>
        <w:t>attire</w:t>
      </w:r>
      <w:r>
        <w:rPr>
          <w:spacing w:val="-2"/>
        </w:rPr>
        <w:t> </w:t>
      </w:r>
      <w:r>
        <w:rPr/>
        <w:t>le</w:t>
      </w:r>
      <w:r>
        <w:rPr>
          <w:spacing w:val="-2"/>
        </w:rPr>
        <w:t> </w:t>
      </w:r>
      <w:r>
        <w:rPr/>
        <w:t>plus</w:t>
      </w:r>
      <w:r>
        <w:rPr>
          <w:spacing w:val="-3"/>
        </w:rPr>
        <w:t> </w:t>
      </w:r>
      <w:r>
        <w:rPr/>
        <w:t>l’attention</w:t>
      </w:r>
      <w:r>
        <w:rPr>
          <w:spacing w:val="-1"/>
        </w:rPr>
        <w:t> </w:t>
      </w:r>
      <w:r>
        <w:rPr/>
        <w:t>visuelle</w:t>
      </w:r>
      <w:r>
        <w:rPr>
          <w:spacing w:val="-2"/>
        </w:rPr>
        <w:t> </w:t>
      </w:r>
      <w:r>
        <w:rPr/>
        <w:t>du</w:t>
      </w:r>
      <w:r>
        <w:rPr>
          <w:spacing w:val="-1"/>
        </w:rPr>
        <w:t> </w:t>
      </w:r>
      <w:r>
        <w:rPr/>
        <w:t>public.</w:t>
      </w:r>
      <w:r>
        <w:rPr>
          <w:spacing w:val="-2"/>
        </w:rPr>
        <w:t> </w:t>
      </w:r>
      <w:r>
        <w:rPr/>
        <w:t>C’est</w:t>
      </w:r>
      <w:r>
        <w:rPr>
          <w:spacing w:val="-1"/>
        </w:rPr>
        <w:t> </w:t>
      </w:r>
      <w:r>
        <w:rPr/>
        <w:t>pourquoi Chanel et la presse utilisent régulièrement le signe</w:t>
        <w:tab/>
      </w:r>
      <w:r>
        <w:rPr>
          <w:spacing w:val="-2"/>
        </w:rPr>
        <w:t>seul.</w:t>
      </w:r>
    </w:p>
    <w:p>
      <w:pPr>
        <w:pStyle w:val="ListParagraph"/>
        <w:numPr>
          <w:ilvl w:val="0"/>
          <w:numId w:val="4"/>
        </w:numPr>
        <w:tabs>
          <w:tab w:pos="1017" w:val="left" w:leader="none"/>
        </w:tabs>
        <w:spacing w:line="240" w:lineRule="auto" w:before="74" w:after="0"/>
        <w:ind w:left="1017" w:right="168" w:hanging="428"/>
        <w:jc w:val="left"/>
        <w:rPr>
          <w:sz w:val="24"/>
        </w:rPr>
      </w:pPr>
      <w:r>
        <w:rPr>
          <w:sz w:val="24"/>
        </w:rPr>
        <w:t>Par</w:t>
      </w:r>
      <w:r>
        <w:rPr>
          <w:spacing w:val="69"/>
          <w:sz w:val="24"/>
        </w:rPr>
        <w:t> </w:t>
      </w:r>
      <w:r>
        <w:rPr>
          <w:sz w:val="24"/>
        </w:rPr>
        <w:t>conséquent,</w:t>
      </w:r>
      <w:r>
        <w:rPr>
          <w:spacing w:val="70"/>
          <w:sz w:val="24"/>
        </w:rPr>
        <w:t> </w:t>
      </w:r>
      <w:r>
        <w:rPr>
          <w:sz w:val="24"/>
        </w:rPr>
        <w:t>la</w:t>
      </w:r>
      <w:r>
        <w:rPr>
          <w:spacing w:val="68"/>
          <w:sz w:val="24"/>
        </w:rPr>
        <w:t> </w:t>
      </w:r>
      <w:r>
        <w:rPr>
          <w:sz w:val="24"/>
        </w:rPr>
        <w:t>renommée</w:t>
      </w:r>
      <w:r>
        <w:rPr>
          <w:spacing w:val="68"/>
          <w:sz w:val="24"/>
        </w:rPr>
        <w:t> </w:t>
      </w:r>
      <w:r>
        <w:rPr>
          <w:sz w:val="24"/>
        </w:rPr>
        <w:t>de</w:t>
      </w:r>
      <w:r>
        <w:rPr>
          <w:spacing w:val="68"/>
          <w:sz w:val="24"/>
        </w:rPr>
        <w:t> </w:t>
      </w:r>
      <w:r>
        <w:rPr>
          <w:sz w:val="24"/>
        </w:rPr>
        <w:t>la</w:t>
      </w:r>
      <w:r>
        <w:rPr>
          <w:spacing w:val="69"/>
          <w:sz w:val="24"/>
        </w:rPr>
        <w:t> </w:t>
      </w:r>
      <w:r>
        <w:rPr>
          <w:sz w:val="24"/>
        </w:rPr>
        <w:t>marque</w:t>
      </w:r>
      <w:r>
        <w:rPr>
          <w:spacing w:val="72"/>
          <w:sz w:val="24"/>
        </w:rPr>
        <w:t> </w:t>
      </w:r>
      <w:r>
        <w:rPr>
          <w:sz w:val="24"/>
        </w:rPr>
        <w:t>«No</w:t>
      </w:r>
      <w:r>
        <w:rPr>
          <w:spacing w:val="69"/>
          <w:sz w:val="24"/>
        </w:rPr>
        <w:t> </w:t>
      </w:r>
      <w:r>
        <w:rPr>
          <w:sz w:val="24"/>
        </w:rPr>
        <w:t>5»</w:t>
      </w:r>
      <w:r>
        <w:rPr>
          <w:spacing w:val="62"/>
          <w:sz w:val="24"/>
        </w:rPr>
        <w:t> </w:t>
      </w:r>
      <w:r>
        <w:rPr>
          <w:sz w:val="24"/>
        </w:rPr>
        <w:t>pour</w:t>
      </w:r>
      <w:r>
        <w:rPr>
          <w:spacing w:val="69"/>
          <w:sz w:val="24"/>
        </w:rPr>
        <w:t> </w:t>
      </w:r>
      <w:r>
        <w:rPr>
          <w:sz w:val="24"/>
        </w:rPr>
        <w:t>des</w:t>
      </w:r>
      <w:r>
        <w:rPr>
          <w:spacing w:val="70"/>
          <w:sz w:val="24"/>
        </w:rPr>
        <w:t> </w:t>
      </w:r>
      <w:r>
        <w:rPr>
          <w:sz w:val="24"/>
        </w:rPr>
        <w:t>parfums</w:t>
      </w:r>
      <w:r>
        <w:rPr>
          <w:spacing w:val="70"/>
          <w:sz w:val="24"/>
        </w:rPr>
        <w:t> </w:t>
      </w:r>
      <w:r>
        <w:rPr>
          <w:sz w:val="24"/>
        </w:rPr>
        <w:t>et</w:t>
      </w:r>
      <w:r>
        <w:rPr>
          <w:spacing w:val="70"/>
          <w:sz w:val="24"/>
        </w:rPr>
        <w:t> </w:t>
      </w:r>
      <w:r>
        <w:rPr>
          <w:sz w:val="24"/>
        </w:rPr>
        <w:t>des cosmétiques doit également être reconnue.</w:t>
      </w:r>
    </w:p>
    <w:p>
      <w:pPr>
        <w:pStyle w:val="BodyText"/>
        <w:spacing w:before="83"/>
      </w:pPr>
    </w:p>
    <w:p>
      <w:pPr>
        <w:spacing w:before="1"/>
        <w:ind w:left="590" w:right="0" w:firstLine="0"/>
        <w:jc w:val="left"/>
        <w:rPr>
          <w:i/>
          <w:sz w:val="24"/>
        </w:rPr>
      </w:pPr>
      <w:r>
        <w:rPr>
          <w:i/>
          <w:sz w:val="24"/>
        </w:rPr>
        <w:t>Conclusion</w:t>
      </w:r>
      <w:r>
        <w:rPr>
          <w:i/>
          <w:spacing w:val="-2"/>
          <w:sz w:val="24"/>
        </w:rPr>
        <w:t> </w:t>
      </w:r>
      <w:r>
        <w:rPr>
          <w:i/>
          <w:sz w:val="24"/>
        </w:rPr>
        <w:t>sur</w:t>
      </w:r>
      <w:r>
        <w:rPr>
          <w:i/>
          <w:spacing w:val="-3"/>
          <w:sz w:val="24"/>
        </w:rPr>
        <w:t> </w:t>
      </w:r>
      <w:r>
        <w:rPr>
          <w:i/>
          <w:sz w:val="24"/>
        </w:rPr>
        <w:t>l’appréciation</w:t>
      </w:r>
      <w:r>
        <w:rPr>
          <w:i/>
          <w:spacing w:val="-2"/>
          <w:sz w:val="24"/>
        </w:rPr>
        <w:t> </w:t>
      </w:r>
      <w:r>
        <w:rPr>
          <w:i/>
          <w:sz w:val="24"/>
        </w:rPr>
        <w:t>globale</w:t>
      </w:r>
      <w:r>
        <w:rPr>
          <w:i/>
          <w:spacing w:val="-1"/>
          <w:sz w:val="24"/>
        </w:rPr>
        <w:t> </w:t>
      </w:r>
      <w:r>
        <w:rPr>
          <w:i/>
          <w:sz w:val="24"/>
        </w:rPr>
        <w:t>des</w:t>
      </w:r>
      <w:r>
        <w:rPr>
          <w:i/>
          <w:spacing w:val="-3"/>
          <w:sz w:val="24"/>
        </w:rPr>
        <w:t> </w:t>
      </w:r>
      <w:r>
        <w:rPr>
          <w:i/>
          <w:sz w:val="24"/>
        </w:rPr>
        <w:t>facteurs</w:t>
      </w:r>
      <w:r>
        <w:rPr>
          <w:i/>
          <w:spacing w:val="-2"/>
          <w:sz w:val="24"/>
        </w:rPr>
        <w:t> pertinents</w:t>
      </w:r>
    </w:p>
    <w:p>
      <w:pPr>
        <w:pStyle w:val="ListParagraph"/>
        <w:numPr>
          <w:ilvl w:val="0"/>
          <w:numId w:val="4"/>
        </w:numPr>
        <w:tabs>
          <w:tab w:pos="1017" w:val="left" w:leader="none"/>
        </w:tabs>
        <w:spacing w:line="240" w:lineRule="auto" w:before="239" w:after="0"/>
        <w:ind w:left="1017" w:right="162" w:hanging="428"/>
        <w:jc w:val="left"/>
        <w:rPr>
          <w:sz w:val="24"/>
        </w:rPr>
      </w:pPr>
      <w:r>
        <w:rPr>
          <w:sz w:val="24"/>
        </w:rPr>
        <w:t>Dans</w:t>
      </w:r>
      <w:r>
        <w:rPr>
          <w:spacing w:val="37"/>
          <w:sz w:val="24"/>
        </w:rPr>
        <w:t> </w:t>
      </w:r>
      <w:r>
        <w:rPr>
          <w:sz w:val="24"/>
        </w:rPr>
        <w:t>l’ensemble,</w:t>
      </w:r>
      <w:r>
        <w:rPr>
          <w:spacing w:val="37"/>
          <w:sz w:val="24"/>
        </w:rPr>
        <w:t> </w:t>
      </w:r>
      <w:r>
        <w:rPr>
          <w:sz w:val="24"/>
        </w:rPr>
        <w:t>la</w:t>
      </w:r>
      <w:r>
        <w:rPr>
          <w:spacing w:val="36"/>
          <w:sz w:val="24"/>
        </w:rPr>
        <w:t> </w:t>
      </w:r>
      <w:r>
        <w:rPr>
          <w:sz w:val="24"/>
        </w:rPr>
        <w:t>marque</w:t>
      </w:r>
      <w:r>
        <w:rPr>
          <w:spacing w:val="36"/>
          <w:sz w:val="24"/>
        </w:rPr>
        <w:t> </w:t>
      </w:r>
      <w:r>
        <w:rPr>
          <w:sz w:val="24"/>
        </w:rPr>
        <w:t>contestée</w:t>
      </w:r>
      <w:r>
        <w:rPr>
          <w:spacing w:val="36"/>
          <w:sz w:val="24"/>
        </w:rPr>
        <w:t> </w:t>
      </w:r>
      <w:r>
        <w:rPr>
          <w:sz w:val="24"/>
        </w:rPr>
        <w:t>crée</w:t>
      </w:r>
      <w:r>
        <w:rPr>
          <w:spacing w:val="36"/>
          <w:sz w:val="24"/>
        </w:rPr>
        <w:t> </w:t>
      </w:r>
      <w:r>
        <w:rPr>
          <w:sz w:val="24"/>
        </w:rPr>
        <w:t>un</w:t>
      </w:r>
      <w:r>
        <w:rPr>
          <w:spacing w:val="39"/>
          <w:sz w:val="24"/>
        </w:rPr>
        <w:t> </w:t>
      </w:r>
      <w:r>
        <w:rPr>
          <w:sz w:val="24"/>
        </w:rPr>
        <w:t>risque</w:t>
      </w:r>
      <w:r>
        <w:rPr>
          <w:spacing w:val="36"/>
          <w:sz w:val="24"/>
        </w:rPr>
        <w:t> </w:t>
      </w:r>
      <w:r>
        <w:rPr>
          <w:sz w:val="24"/>
        </w:rPr>
        <w:t>de</w:t>
      </w:r>
      <w:r>
        <w:rPr>
          <w:spacing w:val="36"/>
          <w:sz w:val="24"/>
        </w:rPr>
        <w:t> </w:t>
      </w:r>
      <w:r>
        <w:rPr>
          <w:sz w:val="24"/>
        </w:rPr>
        <w:t>confusion</w:t>
      </w:r>
      <w:r>
        <w:rPr>
          <w:spacing w:val="40"/>
          <w:sz w:val="24"/>
        </w:rPr>
        <w:t> </w:t>
      </w:r>
      <w:r>
        <w:rPr>
          <w:sz w:val="24"/>
        </w:rPr>
        <w:t>avec</w:t>
      </w:r>
      <w:r>
        <w:rPr>
          <w:spacing w:val="38"/>
          <w:sz w:val="24"/>
        </w:rPr>
        <w:t> </w:t>
      </w:r>
      <w:r>
        <w:rPr>
          <w:sz w:val="24"/>
        </w:rPr>
        <w:t>les</w:t>
      </w:r>
      <w:r>
        <w:rPr>
          <w:spacing w:val="37"/>
          <w:sz w:val="24"/>
        </w:rPr>
        <w:t> </w:t>
      </w:r>
      <w:r>
        <w:rPr>
          <w:sz w:val="24"/>
        </w:rPr>
        <w:t>deux marques antérieures.</w:t>
      </w:r>
    </w:p>
    <w:p>
      <w:pPr>
        <w:pStyle w:val="ListParagraph"/>
        <w:numPr>
          <w:ilvl w:val="0"/>
          <w:numId w:val="4"/>
        </w:numPr>
        <w:tabs>
          <w:tab w:pos="1015" w:val="left" w:leader="none"/>
          <w:tab w:pos="1017" w:val="left" w:leader="none"/>
        </w:tabs>
        <w:spacing w:line="240" w:lineRule="auto" w:before="239" w:after="0"/>
        <w:ind w:left="1017" w:right="161" w:hanging="428"/>
        <w:jc w:val="both"/>
        <w:rPr>
          <w:sz w:val="24"/>
        </w:rPr>
      </w:pPr>
      <w:r>
        <w:rPr>
          <w:sz w:val="24"/>
        </w:rPr>
        <w:t>À</w:t>
      </w:r>
      <w:r>
        <w:rPr>
          <w:spacing w:val="-5"/>
          <w:sz w:val="24"/>
        </w:rPr>
        <w:t> </w:t>
      </w:r>
      <w:r>
        <w:rPr>
          <w:sz w:val="24"/>
        </w:rPr>
        <w:t>titre</w:t>
      </w:r>
      <w:r>
        <w:rPr>
          <w:spacing w:val="-6"/>
          <w:sz w:val="24"/>
        </w:rPr>
        <w:t> </w:t>
      </w:r>
      <w:r>
        <w:rPr>
          <w:sz w:val="24"/>
        </w:rPr>
        <w:t>subsidiaire,</w:t>
      </w:r>
      <w:r>
        <w:rPr>
          <w:spacing w:val="-5"/>
          <w:sz w:val="24"/>
        </w:rPr>
        <w:t> </w:t>
      </w:r>
      <w:r>
        <w:rPr>
          <w:sz w:val="24"/>
        </w:rPr>
        <w:t>il</w:t>
      </w:r>
      <w:r>
        <w:rPr>
          <w:spacing w:val="-5"/>
          <w:sz w:val="24"/>
        </w:rPr>
        <w:t> </w:t>
      </w:r>
      <w:r>
        <w:rPr>
          <w:sz w:val="24"/>
        </w:rPr>
        <w:t>importe</w:t>
      </w:r>
      <w:r>
        <w:rPr>
          <w:spacing w:val="-6"/>
          <w:sz w:val="24"/>
        </w:rPr>
        <w:t> </w:t>
      </w:r>
      <w:r>
        <w:rPr>
          <w:sz w:val="24"/>
        </w:rPr>
        <w:t>de</w:t>
      </w:r>
      <w:r>
        <w:rPr>
          <w:spacing w:val="-6"/>
          <w:sz w:val="24"/>
        </w:rPr>
        <w:t> </w:t>
      </w:r>
      <w:r>
        <w:rPr>
          <w:sz w:val="24"/>
        </w:rPr>
        <w:t>souligner</w:t>
      </w:r>
      <w:r>
        <w:rPr>
          <w:spacing w:val="-6"/>
          <w:sz w:val="24"/>
        </w:rPr>
        <w:t> </w:t>
      </w:r>
      <w:r>
        <w:rPr>
          <w:sz w:val="24"/>
        </w:rPr>
        <w:t>que</w:t>
      </w:r>
      <w:r>
        <w:rPr>
          <w:spacing w:val="-6"/>
          <w:sz w:val="24"/>
        </w:rPr>
        <w:t> </w:t>
      </w:r>
      <w:r>
        <w:rPr>
          <w:sz w:val="24"/>
        </w:rPr>
        <w:t>la</w:t>
      </w:r>
      <w:r>
        <w:rPr>
          <w:spacing w:val="-5"/>
          <w:sz w:val="24"/>
        </w:rPr>
        <w:t> </w:t>
      </w:r>
      <w:r>
        <w:rPr>
          <w:sz w:val="24"/>
        </w:rPr>
        <w:t>conclusion</w:t>
      </w:r>
      <w:r>
        <w:rPr>
          <w:spacing w:val="-5"/>
          <w:sz w:val="24"/>
        </w:rPr>
        <w:t> </w:t>
      </w:r>
      <w:r>
        <w:rPr>
          <w:sz w:val="24"/>
        </w:rPr>
        <w:t>ne</w:t>
      </w:r>
      <w:r>
        <w:rPr>
          <w:spacing w:val="-6"/>
          <w:sz w:val="24"/>
        </w:rPr>
        <w:t> </w:t>
      </w:r>
      <w:r>
        <w:rPr>
          <w:sz w:val="24"/>
        </w:rPr>
        <w:t>serait</w:t>
      </w:r>
      <w:r>
        <w:rPr>
          <w:spacing w:val="-5"/>
          <w:sz w:val="24"/>
        </w:rPr>
        <w:t> </w:t>
      </w:r>
      <w:r>
        <w:rPr>
          <w:sz w:val="24"/>
        </w:rPr>
        <w:t>pas</w:t>
      </w:r>
      <w:r>
        <w:rPr>
          <w:spacing w:val="-5"/>
          <w:sz w:val="24"/>
        </w:rPr>
        <w:t> </w:t>
      </w:r>
      <w:r>
        <w:rPr>
          <w:sz w:val="24"/>
        </w:rPr>
        <w:t>différente</w:t>
      </w:r>
      <w:r>
        <w:rPr>
          <w:spacing w:val="-5"/>
          <w:sz w:val="24"/>
        </w:rPr>
        <w:t> </w:t>
      </w:r>
      <w:r>
        <w:rPr>
          <w:sz w:val="24"/>
        </w:rPr>
        <w:t>si le</w:t>
      </w:r>
      <w:r>
        <w:rPr>
          <w:spacing w:val="-15"/>
          <w:sz w:val="24"/>
        </w:rPr>
        <w:t> </w:t>
      </w:r>
      <w:r>
        <w:rPr>
          <w:sz w:val="24"/>
        </w:rPr>
        <w:t>caractère</w:t>
      </w:r>
      <w:r>
        <w:rPr>
          <w:spacing w:val="-15"/>
          <w:sz w:val="24"/>
        </w:rPr>
        <w:t> </w:t>
      </w:r>
      <w:r>
        <w:rPr>
          <w:sz w:val="24"/>
        </w:rPr>
        <w:t>distinctif</w:t>
      </w:r>
      <w:r>
        <w:rPr>
          <w:spacing w:val="-15"/>
          <w:sz w:val="24"/>
        </w:rPr>
        <w:t> </w:t>
      </w:r>
      <w:r>
        <w:rPr>
          <w:sz w:val="24"/>
        </w:rPr>
        <w:t>des</w:t>
      </w:r>
      <w:r>
        <w:rPr>
          <w:spacing w:val="-15"/>
          <w:sz w:val="24"/>
        </w:rPr>
        <w:t> </w:t>
      </w:r>
      <w:r>
        <w:rPr>
          <w:sz w:val="24"/>
        </w:rPr>
        <w:t>marques</w:t>
      </w:r>
      <w:r>
        <w:rPr>
          <w:spacing w:val="-15"/>
          <w:sz w:val="24"/>
        </w:rPr>
        <w:t> </w:t>
      </w:r>
      <w:r>
        <w:rPr>
          <w:sz w:val="24"/>
        </w:rPr>
        <w:t>antérieures</w:t>
      </w:r>
      <w:r>
        <w:rPr>
          <w:spacing w:val="-15"/>
          <w:sz w:val="24"/>
        </w:rPr>
        <w:t> </w:t>
      </w:r>
      <w:r>
        <w:rPr>
          <w:sz w:val="24"/>
        </w:rPr>
        <w:t>était</w:t>
      </w:r>
      <w:r>
        <w:rPr>
          <w:spacing w:val="-15"/>
          <w:sz w:val="24"/>
        </w:rPr>
        <w:t> </w:t>
      </w:r>
      <w:r>
        <w:rPr>
          <w:sz w:val="24"/>
        </w:rPr>
        <w:t>considéré</w:t>
      </w:r>
      <w:r>
        <w:rPr>
          <w:spacing w:val="-15"/>
          <w:sz w:val="24"/>
        </w:rPr>
        <w:t> </w:t>
      </w:r>
      <w:r>
        <w:rPr>
          <w:sz w:val="24"/>
        </w:rPr>
        <w:t>comme</w:t>
      </w:r>
      <w:r>
        <w:rPr>
          <w:spacing w:val="-15"/>
          <w:sz w:val="24"/>
        </w:rPr>
        <w:t> </w:t>
      </w:r>
      <w:r>
        <w:rPr>
          <w:sz w:val="24"/>
        </w:rPr>
        <w:t>normal</w:t>
      </w:r>
      <w:r>
        <w:rPr>
          <w:spacing w:val="-15"/>
          <w:sz w:val="24"/>
        </w:rPr>
        <w:t> </w:t>
      </w:r>
      <w:r>
        <w:rPr>
          <w:sz w:val="24"/>
        </w:rPr>
        <w:t>et</w:t>
      </w:r>
      <w:r>
        <w:rPr>
          <w:spacing w:val="-15"/>
          <w:sz w:val="24"/>
        </w:rPr>
        <w:t> </w:t>
      </w:r>
      <w:r>
        <w:rPr>
          <w:sz w:val="24"/>
        </w:rPr>
        <w:t>comme bénéficiant d’une protection normale. Aucun facteur ne saurait non plus justifier l’exclusion du risque de confusion.</w:t>
      </w:r>
    </w:p>
    <w:p>
      <w:pPr>
        <w:pStyle w:val="BodyText"/>
        <w:rPr>
          <w:sz w:val="18"/>
        </w:rPr>
      </w:pPr>
    </w:p>
    <w:p>
      <w:pPr>
        <w:pStyle w:val="BodyText"/>
        <w:spacing w:before="205"/>
        <w:rPr>
          <w:sz w:val="18"/>
        </w:rPr>
      </w:pPr>
    </w:p>
    <w:p>
      <w:pPr>
        <w:spacing w:before="1"/>
        <w:ind w:left="2737" w:right="2738" w:firstLine="0"/>
        <w:jc w:val="center"/>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p>
      <w:pPr>
        <w:spacing w:after="0"/>
        <w:jc w:val="center"/>
        <w:rPr>
          <w:sz w:val="18"/>
        </w:rPr>
        <w:sectPr>
          <w:pgSz w:w="11910" w:h="16840"/>
          <w:pgMar w:header="970" w:footer="0" w:top="1180" w:bottom="280" w:left="1275" w:right="1275"/>
        </w:sectPr>
      </w:pPr>
    </w:p>
    <w:p>
      <w:pPr>
        <w:pStyle w:val="ListParagraph"/>
        <w:numPr>
          <w:ilvl w:val="0"/>
          <w:numId w:val="1"/>
        </w:numPr>
        <w:tabs>
          <w:tab w:pos="589" w:val="left" w:leader="none"/>
        </w:tabs>
        <w:spacing w:line="240" w:lineRule="auto" w:before="249" w:after="0"/>
        <w:ind w:left="589" w:right="0" w:hanging="424"/>
        <w:jc w:val="left"/>
        <w:rPr>
          <w:sz w:val="24"/>
        </w:rPr>
      </w:pPr>
      <w:r>
        <w:rPr>
          <w:sz w:val="24"/>
        </w:rPr>
        <mc:AlternateContent>
          <mc:Choice Requires="wps">
            <w:drawing>
              <wp:anchor distT="0" distB="0" distL="0" distR="0" allowOverlap="1" layoutInCell="1" locked="0" behindDoc="0" simplePos="0" relativeHeight="15742976">
                <wp:simplePos x="0" y="0"/>
                <wp:positionH relativeFrom="page">
                  <wp:posOffset>270575</wp:posOffset>
                </wp:positionH>
                <wp:positionV relativeFrom="page">
                  <wp:posOffset>1114363</wp:posOffset>
                </wp:positionV>
                <wp:extent cx="146050" cy="921004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146050" cy="9210040"/>
                        </a:xfrm>
                        <a:prstGeom prst="rect">
                          <a:avLst/>
                        </a:prstGeom>
                      </wps:spPr>
                      <wps:txbx>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wps:txbx>
                      <wps:bodyPr wrap="square" lIns="0" tIns="0" rIns="0" bIns="0" rtlCol="0" vert="vert270">
                        <a:noAutofit/>
                      </wps:bodyPr>
                    </wps:wsp>
                  </a:graphicData>
                </a:graphic>
              </wp:anchor>
            </w:drawing>
          </mc:Choice>
          <mc:Fallback>
            <w:pict>
              <v:shape style="position:absolute;margin-left:21.305176pt;margin-top:87.745193pt;width:11.5pt;height:725.2pt;mso-position-horizontal-relative:page;mso-position-vertical-relative:page;z-index:15742976" type="#_x0000_t202" id="docshape21" filled="false" stroked="false">
                <v:textbox inset="0,0,0,0" style="layout-flow:vertical;mso-layout-flow-alt:bottom-to-top">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v:textbox>
                <w10:wrap type="none"/>
              </v:shape>
            </w:pict>
          </mc:Fallback>
        </mc:AlternateContent>
      </w:r>
      <w:r>
        <w:rPr>
          <w:sz w:val="24"/>
        </w:rPr>
        <w:t>Les arguments</w:t>
      </w:r>
      <w:r>
        <w:rPr>
          <w:spacing w:val="-1"/>
          <w:sz w:val="24"/>
        </w:rPr>
        <w:t> </w:t>
      </w:r>
      <w:r>
        <w:rPr>
          <w:sz w:val="24"/>
        </w:rPr>
        <w:t>soulevés</w:t>
      </w:r>
      <w:r>
        <w:rPr>
          <w:spacing w:val="1"/>
          <w:sz w:val="24"/>
        </w:rPr>
        <w:t> </w:t>
      </w:r>
      <w:r>
        <w:rPr>
          <w:sz w:val="24"/>
        </w:rPr>
        <w:t>en</w:t>
      </w:r>
      <w:r>
        <w:rPr>
          <w:spacing w:val="-1"/>
          <w:sz w:val="24"/>
        </w:rPr>
        <w:t> </w:t>
      </w:r>
      <w:r>
        <w:rPr>
          <w:sz w:val="24"/>
        </w:rPr>
        <w:t>réponse au</w:t>
      </w:r>
      <w:r>
        <w:rPr>
          <w:spacing w:val="-2"/>
          <w:sz w:val="24"/>
        </w:rPr>
        <w:t> </w:t>
      </w:r>
      <w:r>
        <w:rPr>
          <w:sz w:val="24"/>
        </w:rPr>
        <w:t>recours</w:t>
      </w:r>
      <w:r>
        <w:rPr>
          <w:spacing w:val="-1"/>
          <w:sz w:val="24"/>
        </w:rPr>
        <w:t> </w:t>
      </w:r>
      <w:r>
        <w:rPr>
          <w:sz w:val="24"/>
        </w:rPr>
        <w:t>peuvent</w:t>
      </w:r>
      <w:r>
        <w:rPr>
          <w:spacing w:val="-1"/>
          <w:sz w:val="24"/>
        </w:rPr>
        <w:t> </w:t>
      </w:r>
      <w:r>
        <w:rPr>
          <w:sz w:val="24"/>
        </w:rPr>
        <w:t>être</w:t>
      </w:r>
      <w:r>
        <w:rPr>
          <w:spacing w:val="-2"/>
          <w:sz w:val="24"/>
        </w:rPr>
        <w:t> </w:t>
      </w:r>
      <w:r>
        <w:rPr>
          <w:sz w:val="24"/>
        </w:rPr>
        <w:t>résumés</w:t>
      </w:r>
      <w:r>
        <w:rPr>
          <w:spacing w:val="-1"/>
          <w:sz w:val="24"/>
        </w:rPr>
        <w:t> </w:t>
      </w:r>
      <w:r>
        <w:rPr>
          <w:sz w:val="24"/>
        </w:rPr>
        <w:t>comme</w:t>
      </w:r>
      <w:r>
        <w:rPr>
          <w:spacing w:val="-1"/>
          <w:sz w:val="24"/>
        </w:rPr>
        <w:t> </w:t>
      </w:r>
      <w:r>
        <w:rPr>
          <w:spacing w:val="-2"/>
          <w:sz w:val="24"/>
        </w:rPr>
        <w:t>suit:</w:t>
      </w:r>
    </w:p>
    <w:p>
      <w:pPr>
        <w:pStyle w:val="ListParagraph"/>
        <w:numPr>
          <w:ilvl w:val="0"/>
          <w:numId w:val="5"/>
        </w:numPr>
        <w:tabs>
          <w:tab w:pos="1015" w:val="left" w:leader="none"/>
          <w:tab w:pos="1017" w:val="left" w:leader="none"/>
        </w:tabs>
        <w:spacing w:line="240" w:lineRule="auto" w:before="240" w:after="0"/>
        <w:ind w:left="1017" w:right="161" w:hanging="428"/>
        <w:jc w:val="both"/>
        <w:rPr>
          <w:sz w:val="24"/>
        </w:rPr>
      </w:pPr>
      <w:r>
        <w:rPr>
          <w:sz w:val="24"/>
        </w:rPr>
        <w:t>Les différents produits, symboles et arguments présentés par l’opposante, qui suggèrent</w:t>
      </w:r>
      <w:r>
        <w:rPr>
          <w:spacing w:val="-3"/>
          <w:sz w:val="24"/>
        </w:rPr>
        <w:t> </w:t>
      </w:r>
      <w:r>
        <w:rPr>
          <w:sz w:val="24"/>
        </w:rPr>
        <w:t>qu’il</w:t>
      </w:r>
      <w:r>
        <w:rPr>
          <w:spacing w:val="-1"/>
          <w:sz w:val="24"/>
        </w:rPr>
        <w:t> </w:t>
      </w:r>
      <w:r>
        <w:rPr>
          <w:sz w:val="24"/>
        </w:rPr>
        <w:t>y</w:t>
      </w:r>
      <w:r>
        <w:rPr>
          <w:spacing w:val="-9"/>
          <w:sz w:val="24"/>
        </w:rPr>
        <w:t> </w:t>
      </w:r>
      <w:r>
        <w:rPr>
          <w:sz w:val="24"/>
        </w:rPr>
        <w:t>aura</w:t>
      </w:r>
      <w:r>
        <w:rPr>
          <w:spacing w:val="-5"/>
          <w:sz w:val="24"/>
        </w:rPr>
        <w:t> </w:t>
      </w:r>
      <w:r>
        <w:rPr>
          <w:sz w:val="24"/>
        </w:rPr>
        <w:t>un</w:t>
      </w:r>
      <w:r>
        <w:rPr>
          <w:spacing w:val="-1"/>
          <w:sz w:val="24"/>
        </w:rPr>
        <w:t> </w:t>
      </w:r>
      <w:r>
        <w:rPr>
          <w:sz w:val="24"/>
        </w:rPr>
        <w:t>remplacement</w:t>
      </w:r>
      <w:r>
        <w:rPr>
          <w:spacing w:val="-3"/>
          <w:sz w:val="24"/>
        </w:rPr>
        <w:t> </w:t>
      </w:r>
      <w:r>
        <w:rPr>
          <w:sz w:val="24"/>
        </w:rPr>
        <w:t>des</w:t>
      </w:r>
      <w:r>
        <w:rPr>
          <w:spacing w:val="-4"/>
          <w:sz w:val="24"/>
        </w:rPr>
        <w:t> </w:t>
      </w:r>
      <w:r>
        <w:rPr>
          <w:sz w:val="24"/>
        </w:rPr>
        <w:t>logos</w:t>
      </w:r>
      <w:r>
        <w:rPr>
          <w:spacing w:val="-4"/>
          <w:sz w:val="24"/>
        </w:rPr>
        <w:t> </w:t>
      </w:r>
      <w:r>
        <w:rPr>
          <w:sz w:val="24"/>
        </w:rPr>
        <w:t>ou</w:t>
      </w:r>
      <w:r>
        <w:rPr>
          <w:spacing w:val="-3"/>
          <w:sz w:val="24"/>
        </w:rPr>
        <w:t> </w:t>
      </w:r>
      <w:r>
        <w:rPr>
          <w:sz w:val="24"/>
        </w:rPr>
        <w:t>symboles</w:t>
      </w:r>
      <w:r>
        <w:rPr>
          <w:spacing w:val="-4"/>
          <w:sz w:val="24"/>
        </w:rPr>
        <w:t> </w:t>
      </w:r>
      <w:r>
        <w:rPr>
          <w:sz w:val="24"/>
        </w:rPr>
        <w:t>de</w:t>
      </w:r>
      <w:r>
        <w:rPr>
          <w:spacing w:val="-4"/>
          <w:sz w:val="24"/>
        </w:rPr>
        <w:t> </w:t>
      </w:r>
      <w:r>
        <w:rPr>
          <w:sz w:val="24"/>
        </w:rPr>
        <w:t>Chanel</w:t>
      </w:r>
      <w:r>
        <w:rPr>
          <w:spacing w:val="-3"/>
          <w:sz w:val="24"/>
        </w:rPr>
        <w:t> </w:t>
      </w:r>
      <w:r>
        <w:rPr>
          <w:sz w:val="24"/>
        </w:rPr>
        <w:t>no</w:t>
      </w:r>
      <w:r>
        <w:rPr>
          <w:spacing w:val="-3"/>
          <w:sz w:val="24"/>
        </w:rPr>
        <w:t> </w:t>
      </w:r>
      <w:r>
        <w:rPr>
          <w:sz w:val="24"/>
        </w:rPr>
        <w:t>5</w:t>
      </w:r>
      <w:r>
        <w:rPr>
          <w:spacing w:val="-3"/>
          <w:sz w:val="24"/>
        </w:rPr>
        <w:t> </w:t>
      </w:r>
      <w:r>
        <w:rPr>
          <w:sz w:val="24"/>
        </w:rPr>
        <w:t>(no</w:t>
      </w:r>
      <w:r>
        <w:rPr>
          <w:spacing w:val="-3"/>
          <w:sz w:val="24"/>
        </w:rPr>
        <w:t> </w:t>
      </w:r>
      <w:r>
        <w:rPr>
          <w:sz w:val="24"/>
        </w:rPr>
        <w:t>5) et m5, sont fondamentalement absurdes. Leurs comparaisons du symbole m5 sont excessivement généralistes et manquent de précision. Une telle comparaison s’apparente à l’assimilation d’une voiture à une autre simplement parce que les deux ont des pneus, un volant, etc.</w:t>
      </w:r>
    </w:p>
    <w:p>
      <w:pPr>
        <w:pStyle w:val="ListParagraph"/>
        <w:numPr>
          <w:ilvl w:val="0"/>
          <w:numId w:val="5"/>
        </w:numPr>
        <w:tabs>
          <w:tab w:pos="1017" w:val="left" w:leader="none"/>
        </w:tabs>
        <w:spacing w:line="240" w:lineRule="auto" w:before="241" w:after="0"/>
        <w:ind w:left="1017" w:right="0" w:hanging="427"/>
        <w:jc w:val="left"/>
        <w:rPr>
          <w:sz w:val="24"/>
        </w:rPr>
      </w:pPr>
      <w:r>
        <w:rPr>
          <w:sz w:val="24"/>
        </w:rPr>
        <w:t>Tous</w:t>
      </w:r>
      <w:r>
        <w:rPr>
          <w:spacing w:val="-2"/>
          <w:sz w:val="24"/>
        </w:rPr>
        <w:t> </w:t>
      </w:r>
      <w:r>
        <w:rPr>
          <w:sz w:val="24"/>
        </w:rPr>
        <w:t>les</w:t>
      </w:r>
      <w:r>
        <w:rPr>
          <w:spacing w:val="-1"/>
          <w:sz w:val="24"/>
        </w:rPr>
        <w:t> </w:t>
      </w:r>
      <w:r>
        <w:rPr>
          <w:sz w:val="24"/>
        </w:rPr>
        <w:t>produits</w:t>
      </w:r>
      <w:r>
        <w:rPr>
          <w:spacing w:val="-1"/>
          <w:sz w:val="24"/>
        </w:rPr>
        <w:t> </w:t>
      </w:r>
      <w:r>
        <w:rPr>
          <w:sz w:val="24"/>
        </w:rPr>
        <w:t>Chanel,</w:t>
      </w:r>
      <w:r>
        <w:rPr>
          <w:spacing w:val="-1"/>
          <w:sz w:val="24"/>
        </w:rPr>
        <w:t> </w:t>
      </w:r>
      <w:r>
        <w:rPr>
          <w:sz w:val="24"/>
        </w:rPr>
        <w:t>bannières</w:t>
      </w:r>
      <w:r>
        <w:rPr>
          <w:spacing w:val="1"/>
          <w:sz w:val="24"/>
        </w:rPr>
        <w:t> </w:t>
      </w:r>
      <w:r>
        <w:rPr>
          <w:sz w:val="24"/>
        </w:rPr>
        <w:t>et</w:t>
      </w:r>
      <w:r>
        <w:rPr>
          <w:spacing w:val="-1"/>
          <w:sz w:val="24"/>
        </w:rPr>
        <w:t> </w:t>
      </w:r>
      <w:r>
        <w:rPr>
          <w:sz w:val="24"/>
        </w:rPr>
        <w:t>images</w:t>
      </w:r>
      <w:r>
        <w:rPr>
          <w:spacing w:val="-1"/>
          <w:sz w:val="24"/>
        </w:rPr>
        <w:t> </w:t>
      </w:r>
      <w:r>
        <w:rPr>
          <w:sz w:val="24"/>
        </w:rPr>
        <w:t>mentionnés</w:t>
      </w:r>
      <w:r>
        <w:rPr>
          <w:spacing w:val="-1"/>
          <w:sz w:val="24"/>
        </w:rPr>
        <w:t> </w:t>
      </w:r>
      <w:r>
        <w:rPr>
          <w:sz w:val="24"/>
        </w:rPr>
        <w:t>portent</w:t>
      </w:r>
      <w:r>
        <w:rPr>
          <w:spacing w:val="-1"/>
          <w:sz w:val="24"/>
        </w:rPr>
        <w:t> </w:t>
      </w:r>
      <w:r>
        <w:rPr>
          <w:sz w:val="24"/>
        </w:rPr>
        <w:t>le</w:t>
      </w:r>
      <w:r>
        <w:rPr>
          <w:spacing w:val="-2"/>
          <w:sz w:val="24"/>
        </w:rPr>
        <w:t> </w:t>
      </w:r>
      <w:r>
        <w:rPr>
          <w:sz w:val="24"/>
        </w:rPr>
        <w:t>signe</w:t>
      </w:r>
      <w:r>
        <w:rPr>
          <w:spacing w:val="-2"/>
          <w:sz w:val="24"/>
        </w:rPr>
        <w:t> suivant:</w:t>
      </w:r>
    </w:p>
    <w:p>
      <w:pPr>
        <w:spacing w:before="238"/>
        <w:ind w:left="1313" w:right="0" w:firstLine="0"/>
        <w:jc w:val="left"/>
        <w:rPr>
          <w:position w:val="-2"/>
          <w:sz w:val="24"/>
        </w:rPr>
      </w:pPr>
      <w:r>
        <w:rPr/>
        <w:drawing>
          <wp:inline distT="0" distB="0" distL="0" distR="0">
            <wp:extent cx="1494511" cy="287098"/>
            <wp:effectExtent l="0" t="0" r="0" b="0"/>
            <wp:docPr id="41" name="Image 41"/>
            <wp:cNvGraphicFramePr>
              <a:graphicFrameLocks/>
            </wp:cNvGraphicFramePr>
            <a:graphic>
              <a:graphicData uri="http://schemas.openxmlformats.org/drawingml/2006/picture">
                <pic:pic>
                  <pic:nvPicPr>
                    <pic:cNvPr id="41" name="Image 41"/>
                    <pic:cNvPicPr/>
                  </pic:nvPicPr>
                  <pic:blipFill>
                    <a:blip r:embed="rId12" cstate="print"/>
                    <a:stretch>
                      <a:fillRect/>
                    </a:stretch>
                  </pic:blipFill>
                  <pic:spPr>
                    <a:xfrm>
                      <a:off x="0" y="0"/>
                      <a:ext cx="1494511" cy="287098"/>
                    </a:xfrm>
                    <a:prstGeom prst="rect">
                      <a:avLst/>
                    </a:prstGeom>
                  </pic:spPr>
                </pic:pic>
              </a:graphicData>
            </a:graphic>
          </wp:inline>
        </w:drawing>
      </w:r>
      <w:r>
        <w:rPr/>
      </w:r>
      <w:r>
        <w:rPr>
          <w:spacing w:val="-10"/>
          <w:position w:val="-2"/>
          <w:sz w:val="24"/>
        </w:rPr>
        <w:t>.</w:t>
      </w:r>
    </w:p>
    <w:p>
      <w:pPr>
        <w:pStyle w:val="ListParagraph"/>
        <w:numPr>
          <w:ilvl w:val="0"/>
          <w:numId w:val="5"/>
        </w:numPr>
        <w:tabs>
          <w:tab w:pos="1015" w:val="left" w:leader="none"/>
          <w:tab w:pos="1017" w:val="left" w:leader="none"/>
        </w:tabs>
        <w:spacing w:line="240" w:lineRule="auto" w:before="238" w:after="0"/>
        <w:ind w:left="1017" w:right="162" w:hanging="428"/>
        <w:jc w:val="both"/>
        <w:rPr>
          <w:sz w:val="24"/>
        </w:rPr>
      </w:pPr>
      <w:r>
        <w:rPr>
          <w:sz w:val="24"/>
        </w:rPr>
        <w:t>Les clients qui souhaitent acheter le produit no 5 connaissent bien ce qu’ils achètent et</w:t>
      </w:r>
      <w:r>
        <w:rPr>
          <w:spacing w:val="-10"/>
          <w:sz w:val="24"/>
        </w:rPr>
        <w:t> </w:t>
      </w:r>
      <w:r>
        <w:rPr>
          <w:sz w:val="24"/>
        </w:rPr>
        <w:t>connaissent</w:t>
      </w:r>
      <w:r>
        <w:rPr>
          <w:spacing w:val="-10"/>
          <w:sz w:val="24"/>
        </w:rPr>
        <w:t> </w:t>
      </w:r>
      <w:r>
        <w:rPr>
          <w:sz w:val="24"/>
        </w:rPr>
        <w:t>la</w:t>
      </w:r>
      <w:r>
        <w:rPr>
          <w:spacing w:val="-9"/>
          <w:sz w:val="24"/>
        </w:rPr>
        <w:t> </w:t>
      </w:r>
      <w:r>
        <w:rPr>
          <w:sz w:val="24"/>
        </w:rPr>
        <w:t>marque.</w:t>
      </w:r>
      <w:r>
        <w:rPr>
          <w:spacing w:val="-9"/>
          <w:sz w:val="24"/>
        </w:rPr>
        <w:t> </w:t>
      </w:r>
      <w:r>
        <w:rPr>
          <w:sz w:val="24"/>
        </w:rPr>
        <w:t>Un</w:t>
      </w:r>
      <w:r>
        <w:rPr>
          <w:spacing w:val="-11"/>
          <w:sz w:val="24"/>
        </w:rPr>
        <w:t> </w:t>
      </w:r>
      <w:r>
        <w:rPr>
          <w:sz w:val="24"/>
        </w:rPr>
        <w:t>client</w:t>
      </w:r>
      <w:r>
        <w:rPr>
          <w:spacing w:val="-10"/>
          <w:sz w:val="24"/>
        </w:rPr>
        <w:t> </w:t>
      </w:r>
      <w:r>
        <w:rPr>
          <w:sz w:val="24"/>
        </w:rPr>
        <w:t>comparant</w:t>
      </w:r>
      <w:r>
        <w:rPr>
          <w:spacing w:val="-10"/>
          <w:sz w:val="24"/>
        </w:rPr>
        <w:t> </w:t>
      </w:r>
      <w:r>
        <w:rPr>
          <w:sz w:val="24"/>
        </w:rPr>
        <w:t>le</w:t>
      </w:r>
      <w:r>
        <w:rPr>
          <w:spacing w:val="-9"/>
          <w:sz w:val="24"/>
        </w:rPr>
        <w:t> </w:t>
      </w:r>
      <w:r>
        <w:rPr>
          <w:sz w:val="24"/>
        </w:rPr>
        <w:t>symbole</w:t>
      </w:r>
      <w:r>
        <w:rPr>
          <w:spacing w:val="-11"/>
          <w:sz w:val="24"/>
        </w:rPr>
        <w:t> </w:t>
      </w:r>
      <w:r>
        <w:rPr>
          <w:sz w:val="24"/>
        </w:rPr>
        <w:t>m5</w:t>
      </w:r>
      <w:r>
        <w:rPr>
          <w:spacing w:val="-8"/>
          <w:sz w:val="24"/>
        </w:rPr>
        <w:t> </w:t>
      </w:r>
      <w:r>
        <w:rPr>
          <w:sz w:val="24"/>
        </w:rPr>
        <w:t>avec</w:t>
      </w:r>
      <w:r>
        <w:rPr>
          <w:spacing w:val="-9"/>
          <w:sz w:val="24"/>
        </w:rPr>
        <w:t> </w:t>
      </w:r>
      <w:r>
        <w:rPr>
          <w:sz w:val="24"/>
        </w:rPr>
        <w:t>le</w:t>
      </w:r>
      <w:r>
        <w:rPr>
          <w:spacing w:val="-11"/>
          <w:sz w:val="24"/>
        </w:rPr>
        <w:t> </w:t>
      </w:r>
      <w:r>
        <w:rPr>
          <w:sz w:val="24"/>
        </w:rPr>
        <w:t>no</w:t>
      </w:r>
      <w:r>
        <w:rPr>
          <w:spacing w:val="-11"/>
          <w:sz w:val="24"/>
        </w:rPr>
        <w:t> </w:t>
      </w:r>
      <w:r>
        <w:rPr>
          <w:sz w:val="24"/>
        </w:rPr>
        <w:t>5</w:t>
      </w:r>
      <w:r>
        <w:rPr>
          <w:spacing w:val="-8"/>
          <w:sz w:val="24"/>
        </w:rPr>
        <w:t> </w:t>
      </w:r>
      <w:r>
        <w:rPr>
          <w:sz w:val="24"/>
        </w:rPr>
        <w:t>reconnaîtra immédiatement qu’ils ne représentent pas la même marque. Ceux qui ne connaissent pas</w:t>
      </w:r>
      <w:r>
        <w:rPr>
          <w:spacing w:val="-11"/>
          <w:sz w:val="24"/>
        </w:rPr>
        <w:t> </w:t>
      </w:r>
      <w:r>
        <w:rPr>
          <w:sz w:val="24"/>
        </w:rPr>
        <w:t>l’un</w:t>
      </w:r>
      <w:r>
        <w:rPr>
          <w:spacing w:val="-12"/>
          <w:sz w:val="24"/>
        </w:rPr>
        <w:t> </w:t>
      </w:r>
      <w:r>
        <w:rPr>
          <w:sz w:val="24"/>
        </w:rPr>
        <w:t>ou</w:t>
      </w:r>
      <w:r>
        <w:rPr>
          <w:spacing w:val="-12"/>
          <w:sz w:val="24"/>
        </w:rPr>
        <w:t> </w:t>
      </w:r>
      <w:r>
        <w:rPr>
          <w:sz w:val="24"/>
        </w:rPr>
        <w:t>l’autre</w:t>
      </w:r>
      <w:r>
        <w:rPr>
          <w:spacing w:val="-13"/>
          <w:sz w:val="24"/>
        </w:rPr>
        <w:t> </w:t>
      </w:r>
      <w:r>
        <w:rPr>
          <w:sz w:val="24"/>
        </w:rPr>
        <w:t>de</w:t>
      </w:r>
      <w:r>
        <w:rPr>
          <w:spacing w:val="-13"/>
          <w:sz w:val="24"/>
        </w:rPr>
        <w:t> </w:t>
      </w:r>
      <w:r>
        <w:rPr>
          <w:sz w:val="24"/>
        </w:rPr>
        <w:t>ces</w:t>
      </w:r>
      <w:r>
        <w:rPr>
          <w:spacing w:val="-11"/>
          <w:sz w:val="24"/>
        </w:rPr>
        <w:t> </w:t>
      </w:r>
      <w:r>
        <w:rPr>
          <w:sz w:val="24"/>
        </w:rPr>
        <w:t>produits</w:t>
      </w:r>
      <w:r>
        <w:rPr>
          <w:spacing w:val="-11"/>
          <w:sz w:val="24"/>
        </w:rPr>
        <w:t> </w:t>
      </w:r>
      <w:r>
        <w:rPr>
          <w:sz w:val="24"/>
        </w:rPr>
        <w:t>fonderont</w:t>
      </w:r>
      <w:r>
        <w:rPr>
          <w:spacing w:val="-12"/>
          <w:sz w:val="24"/>
        </w:rPr>
        <w:t> </w:t>
      </w:r>
      <w:r>
        <w:rPr>
          <w:sz w:val="24"/>
        </w:rPr>
        <w:t>leur</w:t>
      </w:r>
      <w:r>
        <w:rPr>
          <w:spacing w:val="-13"/>
          <w:sz w:val="24"/>
        </w:rPr>
        <w:t> </w:t>
      </w:r>
      <w:r>
        <w:rPr>
          <w:sz w:val="24"/>
        </w:rPr>
        <w:t>décision</w:t>
      </w:r>
      <w:r>
        <w:rPr>
          <w:spacing w:val="-12"/>
          <w:sz w:val="24"/>
        </w:rPr>
        <w:t> </w:t>
      </w:r>
      <w:r>
        <w:rPr>
          <w:sz w:val="24"/>
        </w:rPr>
        <w:t>uniquement</w:t>
      </w:r>
      <w:r>
        <w:rPr>
          <w:spacing w:val="-11"/>
          <w:sz w:val="24"/>
        </w:rPr>
        <w:t> </w:t>
      </w:r>
      <w:r>
        <w:rPr>
          <w:sz w:val="24"/>
        </w:rPr>
        <w:t>sur</w:t>
      </w:r>
      <w:r>
        <w:rPr>
          <w:spacing w:val="-12"/>
          <w:sz w:val="24"/>
        </w:rPr>
        <w:t> </w:t>
      </w:r>
      <w:r>
        <w:rPr>
          <w:sz w:val="24"/>
        </w:rPr>
        <w:t>des</w:t>
      </w:r>
      <w:r>
        <w:rPr>
          <w:spacing w:val="-11"/>
          <w:sz w:val="24"/>
        </w:rPr>
        <w:t> </w:t>
      </w:r>
      <w:r>
        <w:rPr>
          <w:sz w:val="24"/>
        </w:rPr>
        <w:t>facteurs tels que l’arôme et l’application, plutôt que sur la notoriété de la marque.</w:t>
      </w:r>
    </w:p>
    <w:p>
      <w:pPr>
        <w:pStyle w:val="BodyText"/>
        <w:spacing w:before="203"/>
      </w:pPr>
    </w:p>
    <w:p>
      <w:pPr>
        <w:spacing w:before="0"/>
        <w:ind w:left="590" w:right="0" w:firstLine="0"/>
        <w:jc w:val="left"/>
        <w:rPr>
          <w:b/>
          <w:sz w:val="24"/>
        </w:rPr>
      </w:pPr>
      <w:r>
        <w:rPr>
          <w:b/>
          <w:spacing w:val="-2"/>
          <w:sz w:val="24"/>
        </w:rPr>
        <w:t>Motifs</w:t>
      </w:r>
    </w:p>
    <w:p>
      <w:pPr>
        <w:pStyle w:val="ListParagraph"/>
        <w:numPr>
          <w:ilvl w:val="0"/>
          <w:numId w:val="1"/>
        </w:numPr>
        <w:tabs>
          <w:tab w:pos="590" w:val="left" w:leader="none"/>
        </w:tabs>
        <w:spacing w:line="240" w:lineRule="auto" w:before="240" w:after="0"/>
        <w:ind w:left="590" w:right="160" w:hanging="425"/>
        <w:jc w:val="both"/>
        <w:rPr>
          <w:sz w:val="24"/>
        </w:rPr>
      </w:pPr>
      <w:r>
        <w:rPr>
          <w:sz w:val="24"/>
        </w:rPr>
        <w:t>Sauf indication contraire expresse dans la présente décision, toutes les références mentionnées dans cette décision doivent être considérées comme renvoyant au RMUE (UE) 2017/1001 (JO 2017 L 154, p. 1), codifiant le règlement (CE) no 207/2009 tel que </w:t>
      </w:r>
      <w:r>
        <w:rPr>
          <w:spacing w:val="-2"/>
          <w:sz w:val="24"/>
        </w:rPr>
        <w:t>modifié.</w:t>
      </w:r>
    </w:p>
    <w:p>
      <w:pPr>
        <w:pStyle w:val="ListParagraph"/>
        <w:numPr>
          <w:ilvl w:val="0"/>
          <w:numId w:val="1"/>
        </w:numPr>
        <w:tabs>
          <w:tab w:pos="590" w:val="left" w:leader="none"/>
        </w:tabs>
        <w:spacing w:line="240" w:lineRule="auto" w:before="240" w:after="0"/>
        <w:ind w:left="590" w:right="161" w:hanging="425"/>
        <w:jc w:val="both"/>
        <w:rPr>
          <w:sz w:val="24"/>
        </w:rPr>
      </w:pPr>
      <w:r>
        <w:rPr>
          <w:sz w:val="24"/>
        </w:rPr>
        <w:t>Le recours est conforme aux dispositions des articles 66 et 67 et de l’article 68, paragraphe 1, du RMUE. Il est recevable.</w:t>
      </w:r>
    </w:p>
    <w:p>
      <w:pPr>
        <w:pStyle w:val="BodyText"/>
        <w:spacing w:before="84"/>
      </w:pPr>
    </w:p>
    <w:p>
      <w:pPr>
        <w:spacing w:before="0"/>
        <w:ind w:left="590" w:right="0" w:firstLine="0"/>
        <w:jc w:val="left"/>
        <w:rPr>
          <w:i/>
          <w:sz w:val="24"/>
        </w:rPr>
      </w:pPr>
      <w:r>
        <w:rPr>
          <w:i/>
          <w:sz w:val="24"/>
        </w:rPr>
        <w:t>Portée</w:t>
      </w:r>
      <w:r>
        <w:rPr>
          <w:i/>
          <w:spacing w:val="-2"/>
          <w:sz w:val="24"/>
        </w:rPr>
        <w:t> </w:t>
      </w:r>
      <w:r>
        <w:rPr>
          <w:i/>
          <w:sz w:val="24"/>
        </w:rPr>
        <w:t>du </w:t>
      </w:r>
      <w:r>
        <w:rPr>
          <w:i/>
          <w:spacing w:val="-2"/>
          <w:sz w:val="24"/>
        </w:rPr>
        <w:t>recours</w:t>
      </w:r>
    </w:p>
    <w:p>
      <w:pPr>
        <w:pStyle w:val="ListParagraph"/>
        <w:numPr>
          <w:ilvl w:val="0"/>
          <w:numId w:val="1"/>
        </w:numPr>
        <w:tabs>
          <w:tab w:pos="590" w:val="left" w:leader="none"/>
        </w:tabs>
        <w:spacing w:line="240" w:lineRule="auto" w:before="241" w:after="0"/>
        <w:ind w:left="590" w:right="161" w:hanging="425"/>
        <w:jc w:val="both"/>
        <w:rPr>
          <w:sz w:val="24"/>
        </w:rPr>
      </w:pPr>
      <w:r>
        <w:rPr>
          <w:sz w:val="24"/>
        </w:rPr>
        <w:t>L’opposante a formé un recours contre la décision attaquée dans son intégralité, étant donné que l’opposition a été rejetée pour l’ensemble des produits contestés (article 67, première phrase, du RMUE).</w:t>
      </w:r>
    </w:p>
    <w:p>
      <w:pPr>
        <w:pStyle w:val="ListParagraph"/>
        <w:numPr>
          <w:ilvl w:val="0"/>
          <w:numId w:val="1"/>
        </w:numPr>
        <w:tabs>
          <w:tab w:pos="589" w:val="left" w:leader="none"/>
        </w:tabs>
        <w:spacing w:line="240" w:lineRule="auto" w:before="240" w:after="0"/>
        <w:ind w:left="589" w:right="0" w:hanging="424"/>
        <w:jc w:val="left"/>
        <w:rPr>
          <w:sz w:val="24"/>
        </w:rPr>
      </w:pPr>
      <w:r>
        <w:rPr>
          <w:sz w:val="24"/>
        </w:rPr>
        <w:t>Par</w:t>
      </w:r>
      <w:r>
        <w:rPr>
          <w:spacing w:val="-11"/>
          <w:sz w:val="24"/>
        </w:rPr>
        <w:t> </w:t>
      </w:r>
      <w:r>
        <w:rPr>
          <w:sz w:val="24"/>
        </w:rPr>
        <w:t>conséquent,</w:t>
      </w:r>
      <w:r>
        <w:rPr>
          <w:spacing w:val="-8"/>
          <w:sz w:val="24"/>
        </w:rPr>
        <w:t> </w:t>
      </w:r>
      <w:r>
        <w:rPr>
          <w:sz w:val="24"/>
        </w:rPr>
        <w:t>la</w:t>
      </w:r>
      <w:r>
        <w:rPr>
          <w:spacing w:val="-7"/>
          <w:sz w:val="24"/>
        </w:rPr>
        <w:t> </w:t>
      </w:r>
      <w:r>
        <w:rPr>
          <w:sz w:val="24"/>
        </w:rPr>
        <w:t>chambre</w:t>
      </w:r>
      <w:r>
        <w:rPr>
          <w:spacing w:val="-10"/>
          <w:sz w:val="24"/>
        </w:rPr>
        <w:t> </w:t>
      </w:r>
      <w:r>
        <w:rPr>
          <w:sz w:val="24"/>
        </w:rPr>
        <w:t>de</w:t>
      </w:r>
      <w:r>
        <w:rPr>
          <w:spacing w:val="-9"/>
          <w:sz w:val="24"/>
        </w:rPr>
        <w:t> </w:t>
      </w:r>
      <w:r>
        <w:rPr>
          <w:sz w:val="24"/>
        </w:rPr>
        <w:t>recours</w:t>
      </w:r>
      <w:r>
        <w:rPr>
          <w:spacing w:val="-7"/>
          <w:sz w:val="24"/>
        </w:rPr>
        <w:t> </w:t>
      </w:r>
      <w:r>
        <w:rPr>
          <w:sz w:val="24"/>
        </w:rPr>
        <w:t>appréciera</w:t>
      </w:r>
      <w:r>
        <w:rPr>
          <w:spacing w:val="-10"/>
          <w:sz w:val="24"/>
        </w:rPr>
        <w:t> </w:t>
      </w:r>
      <w:r>
        <w:rPr>
          <w:sz w:val="24"/>
        </w:rPr>
        <w:t>la</w:t>
      </w:r>
      <w:r>
        <w:rPr>
          <w:spacing w:val="-8"/>
          <w:sz w:val="24"/>
        </w:rPr>
        <w:t> </w:t>
      </w:r>
      <w:r>
        <w:rPr>
          <w:sz w:val="24"/>
        </w:rPr>
        <w:t>décision</w:t>
      </w:r>
      <w:r>
        <w:rPr>
          <w:spacing w:val="-9"/>
          <w:sz w:val="24"/>
        </w:rPr>
        <w:t> </w:t>
      </w:r>
      <w:r>
        <w:rPr>
          <w:sz w:val="24"/>
        </w:rPr>
        <w:t>attaquée</w:t>
      </w:r>
      <w:r>
        <w:rPr>
          <w:spacing w:val="-10"/>
          <w:sz w:val="24"/>
        </w:rPr>
        <w:t> </w:t>
      </w:r>
      <w:r>
        <w:rPr>
          <w:sz w:val="24"/>
        </w:rPr>
        <w:t>dans</w:t>
      </w:r>
      <w:r>
        <w:rPr>
          <w:spacing w:val="-8"/>
          <w:sz w:val="24"/>
        </w:rPr>
        <w:t> </w:t>
      </w:r>
      <w:r>
        <w:rPr>
          <w:sz w:val="24"/>
        </w:rPr>
        <w:t>son</w:t>
      </w:r>
      <w:r>
        <w:rPr>
          <w:spacing w:val="-8"/>
          <w:sz w:val="24"/>
        </w:rPr>
        <w:t> </w:t>
      </w:r>
      <w:r>
        <w:rPr>
          <w:spacing w:val="-2"/>
          <w:sz w:val="24"/>
        </w:rPr>
        <w:t>intégralité.</w:t>
      </w:r>
    </w:p>
    <w:p>
      <w:pPr>
        <w:pStyle w:val="BodyText"/>
        <w:spacing w:before="83"/>
      </w:pPr>
    </w:p>
    <w:p>
      <w:pPr>
        <w:spacing w:before="1"/>
        <w:ind w:left="590" w:right="0" w:firstLine="0"/>
        <w:jc w:val="left"/>
        <w:rPr>
          <w:i/>
          <w:sz w:val="24"/>
        </w:rPr>
      </w:pPr>
      <w:r>
        <w:rPr>
          <w:i/>
          <w:sz w:val="24"/>
        </w:rPr>
        <w:t>Sur</w:t>
      </w:r>
      <w:r>
        <w:rPr>
          <w:i/>
          <w:spacing w:val="-1"/>
          <w:sz w:val="24"/>
        </w:rPr>
        <w:t> </w:t>
      </w:r>
      <w:r>
        <w:rPr>
          <w:i/>
          <w:sz w:val="24"/>
        </w:rPr>
        <w:t>la recevabilité</w:t>
      </w:r>
      <w:r>
        <w:rPr>
          <w:i/>
          <w:spacing w:val="-2"/>
          <w:sz w:val="24"/>
        </w:rPr>
        <w:t> </w:t>
      </w:r>
      <w:r>
        <w:rPr>
          <w:i/>
          <w:sz w:val="24"/>
        </w:rPr>
        <w:t>des éléments</w:t>
      </w:r>
      <w:r>
        <w:rPr>
          <w:i/>
          <w:spacing w:val="-1"/>
          <w:sz w:val="24"/>
        </w:rPr>
        <w:t> </w:t>
      </w:r>
      <w:r>
        <w:rPr>
          <w:i/>
          <w:sz w:val="24"/>
        </w:rPr>
        <w:t>de</w:t>
      </w:r>
      <w:r>
        <w:rPr>
          <w:i/>
          <w:spacing w:val="-1"/>
          <w:sz w:val="24"/>
        </w:rPr>
        <w:t> </w:t>
      </w:r>
      <w:r>
        <w:rPr>
          <w:i/>
          <w:sz w:val="24"/>
        </w:rPr>
        <w:t>preuve</w:t>
      </w:r>
      <w:r>
        <w:rPr>
          <w:i/>
          <w:spacing w:val="-1"/>
          <w:sz w:val="24"/>
        </w:rPr>
        <w:t> </w:t>
      </w:r>
      <w:r>
        <w:rPr>
          <w:i/>
          <w:sz w:val="24"/>
        </w:rPr>
        <w:t>produits</w:t>
      </w:r>
      <w:r>
        <w:rPr>
          <w:i/>
          <w:spacing w:val="-1"/>
          <w:sz w:val="24"/>
        </w:rPr>
        <w:t> </w:t>
      </w:r>
      <w:r>
        <w:rPr>
          <w:i/>
          <w:sz w:val="24"/>
        </w:rPr>
        <w:t>devant la</w:t>
      </w:r>
      <w:r>
        <w:rPr>
          <w:i/>
          <w:spacing w:val="-1"/>
          <w:sz w:val="24"/>
        </w:rPr>
        <w:t> </w:t>
      </w:r>
      <w:r>
        <w:rPr>
          <w:i/>
          <w:sz w:val="24"/>
        </w:rPr>
        <w:t>chambre</w:t>
      </w:r>
      <w:r>
        <w:rPr>
          <w:i/>
          <w:spacing w:val="-2"/>
          <w:sz w:val="24"/>
        </w:rPr>
        <w:t> </w:t>
      </w:r>
      <w:r>
        <w:rPr>
          <w:i/>
          <w:sz w:val="24"/>
        </w:rPr>
        <w:t>de</w:t>
      </w:r>
      <w:r>
        <w:rPr>
          <w:i/>
          <w:spacing w:val="-1"/>
          <w:sz w:val="24"/>
        </w:rPr>
        <w:t> </w:t>
      </w:r>
      <w:r>
        <w:rPr>
          <w:i/>
          <w:spacing w:val="-2"/>
          <w:sz w:val="24"/>
        </w:rPr>
        <w:t>recours</w:t>
      </w:r>
    </w:p>
    <w:p>
      <w:pPr>
        <w:pStyle w:val="ListParagraph"/>
        <w:numPr>
          <w:ilvl w:val="0"/>
          <w:numId w:val="1"/>
        </w:numPr>
        <w:tabs>
          <w:tab w:pos="590" w:val="left" w:leader="none"/>
        </w:tabs>
        <w:spacing w:line="240" w:lineRule="auto" w:before="240" w:after="0"/>
        <w:ind w:left="590" w:right="163" w:hanging="425"/>
        <w:jc w:val="both"/>
        <w:rPr>
          <w:sz w:val="24"/>
        </w:rPr>
      </w:pPr>
      <w:r>
        <w:rPr>
          <w:sz w:val="24"/>
        </w:rPr>
        <w:t>Conformément à l’article 95, paragraphe</w:t>
      </w:r>
      <w:r>
        <w:rPr>
          <w:spacing w:val="-3"/>
          <w:sz w:val="24"/>
        </w:rPr>
        <w:t> </w:t>
      </w:r>
      <w:r>
        <w:rPr>
          <w:sz w:val="24"/>
        </w:rPr>
        <w:t>2, du RMUE, l’Office peut ne pas tenir compte des preuves que la partie concernée n’a pas produites en temps utile.</w:t>
      </w:r>
    </w:p>
    <w:p>
      <w:pPr>
        <w:pStyle w:val="ListParagraph"/>
        <w:numPr>
          <w:ilvl w:val="0"/>
          <w:numId w:val="1"/>
        </w:numPr>
        <w:tabs>
          <w:tab w:pos="590" w:val="left" w:leader="none"/>
        </w:tabs>
        <w:spacing w:line="240" w:lineRule="auto" w:before="240" w:after="0"/>
        <w:ind w:left="590" w:right="157" w:hanging="425"/>
        <w:jc w:val="both"/>
        <w:rPr>
          <w:sz w:val="24"/>
        </w:rPr>
      </w:pPr>
      <w:r>
        <w:rPr>
          <w:sz w:val="24"/>
        </w:rPr>
        <w:t>Conformément à l’article 27, paragraphe 3,point b), du RDMUE, l’examen du recours inclut les revendications ou demandes suivantes, pour autant qu’elles aient été présentées dans</w:t>
      </w:r>
      <w:r>
        <w:rPr>
          <w:spacing w:val="-9"/>
          <w:sz w:val="24"/>
        </w:rPr>
        <w:t> </w:t>
      </w:r>
      <w:r>
        <w:rPr>
          <w:sz w:val="24"/>
        </w:rPr>
        <w:t>le</w:t>
      </w:r>
      <w:r>
        <w:rPr>
          <w:spacing w:val="-10"/>
          <w:sz w:val="24"/>
        </w:rPr>
        <w:t> </w:t>
      </w:r>
      <w:r>
        <w:rPr>
          <w:sz w:val="24"/>
        </w:rPr>
        <w:t>mémoire</w:t>
      </w:r>
      <w:r>
        <w:rPr>
          <w:spacing w:val="-11"/>
          <w:sz w:val="24"/>
        </w:rPr>
        <w:t> </w:t>
      </w:r>
      <w:r>
        <w:rPr>
          <w:sz w:val="24"/>
        </w:rPr>
        <w:t>exposant</w:t>
      </w:r>
      <w:r>
        <w:rPr>
          <w:spacing w:val="-9"/>
          <w:sz w:val="24"/>
        </w:rPr>
        <w:t> </w:t>
      </w:r>
      <w:r>
        <w:rPr>
          <w:sz w:val="24"/>
        </w:rPr>
        <w:t>les</w:t>
      </w:r>
      <w:r>
        <w:rPr>
          <w:spacing w:val="-10"/>
          <w:sz w:val="24"/>
        </w:rPr>
        <w:t> </w:t>
      </w:r>
      <w:r>
        <w:rPr>
          <w:sz w:val="24"/>
        </w:rPr>
        <w:t>motifs</w:t>
      </w:r>
      <w:r>
        <w:rPr>
          <w:spacing w:val="-10"/>
          <w:sz w:val="24"/>
        </w:rPr>
        <w:t> </w:t>
      </w:r>
      <w:r>
        <w:rPr>
          <w:sz w:val="24"/>
        </w:rPr>
        <w:t>du</w:t>
      </w:r>
      <w:r>
        <w:rPr>
          <w:spacing w:val="-10"/>
          <w:sz w:val="24"/>
        </w:rPr>
        <w:t> </w:t>
      </w:r>
      <w:r>
        <w:rPr>
          <w:sz w:val="24"/>
        </w:rPr>
        <w:t>recours</w:t>
      </w:r>
      <w:r>
        <w:rPr>
          <w:spacing w:val="-10"/>
          <w:sz w:val="24"/>
        </w:rPr>
        <w:t> </w:t>
      </w:r>
      <w:r>
        <w:rPr>
          <w:sz w:val="24"/>
        </w:rPr>
        <w:t>ou,</w:t>
      </w:r>
      <w:r>
        <w:rPr>
          <w:spacing w:val="-10"/>
          <w:sz w:val="24"/>
        </w:rPr>
        <w:t> </w:t>
      </w:r>
      <w:r>
        <w:rPr>
          <w:sz w:val="24"/>
        </w:rPr>
        <w:t>le</w:t>
      </w:r>
      <w:r>
        <w:rPr>
          <w:spacing w:val="-10"/>
          <w:sz w:val="24"/>
        </w:rPr>
        <w:t> </w:t>
      </w:r>
      <w:r>
        <w:rPr>
          <w:sz w:val="24"/>
        </w:rPr>
        <w:t>cas</w:t>
      </w:r>
      <w:r>
        <w:rPr>
          <w:spacing w:val="-9"/>
          <w:sz w:val="24"/>
        </w:rPr>
        <w:t> </w:t>
      </w:r>
      <w:r>
        <w:rPr>
          <w:sz w:val="24"/>
        </w:rPr>
        <w:t>échéant,</w:t>
      </w:r>
      <w:r>
        <w:rPr>
          <w:spacing w:val="-9"/>
          <w:sz w:val="24"/>
        </w:rPr>
        <w:t> </w:t>
      </w:r>
      <w:r>
        <w:rPr>
          <w:sz w:val="24"/>
        </w:rPr>
        <w:t>dans</w:t>
      </w:r>
      <w:r>
        <w:rPr>
          <w:spacing w:val="-9"/>
          <w:sz w:val="24"/>
        </w:rPr>
        <w:t> </w:t>
      </w:r>
      <w:r>
        <w:rPr>
          <w:sz w:val="24"/>
        </w:rPr>
        <w:t>le</w:t>
      </w:r>
      <w:r>
        <w:rPr>
          <w:spacing w:val="-10"/>
          <w:sz w:val="24"/>
        </w:rPr>
        <w:t> </w:t>
      </w:r>
      <w:r>
        <w:rPr>
          <w:sz w:val="24"/>
        </w:rPr>
        <w:t>recours</w:t>
      </w:r>
      <w:r>
        <w:rPr>
          <w:spacing w:val="-10"/>
          <w:sz w:val="24"/>
        </w:rPr>
        <w:t> </w:t>
      </w:r>
      <w:r>
        <w:rPr>
          <w:sz w:val="24"/>
        </w:rPr>
        <w:t>incident et pour autant qu’elles aient été présentées en temps utile dans la procédure devant l’instance de l’Office qui a adopté la décision objet du recours: Déférée... b) la reconnaissance de la marque antérieure sur le marché acquise par l’usage aux fins de l’article 8, paragraphe 1, point b), du règlement (UE) 2017/1001.</w:t>
      </w:r>
    </w:p>
    <w:p>
      <w:pPr>
        <w:pStyle w:val="BodyText"/>
        <w:rPr>
          <w:sz w:val="18"/>
        </w:rPr>
      </w:pPr>
    </w:p>
    <w:p>
      <w:pPr>
        <w:pStyle w:val="BodyText"/>
        <w:spacing w:before="96"/>
        <w:rPr>
          <w:sz w:val="18"/>
        </w:rPr>
      </w:pPr>
    </w:p>
    <w:p>
      <w:pPr>
        <w:spacing w:before="1"/>
        <w:ind w:left="2737" w:right="2738" w:firstLine="0"/>
        <w:jc w:val="center"/>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p>
      <w:pPr>
        <w:spacing w:after="0"/>
        <w:jc w:val="center"/>
        <w:rPr>
          <w:sz w:val="18"/>
        </w:rPr>
        <w:sectPr>
          <w:pgSz w:w="11910" w:h="16840"/>
          <w:pgMar w:header="970" w:footer="0" w:top="1180" w:bottom="280" w:left="1275" w:right="1275"/>
        </w:sectPr>
      </w:pPr>
    </w:p>
    <w:p>
      <w:pPr>
        <w:pStyle w:val="ListParagraph"/>
        <w:numPr>
          <w:ilvl w:val="0"/>
          <w:numId w:val="1"/>
        </w:numPr>
        <w:tabs>
          <w:tab w:pos="590" w:val="left" w:leader="none"/>
        </w:tabs>
        <w:spacing w:line="240" w:lineRule="auto" w:before="249" w:after="0"/>
        <w:ind w:left="590" w:right="162" w:hanging="425"/>
        <w:jc w:val="both"/>
        <w:rPr>
          <w:sz w:val="24"/>
        </w:rPr>
      </w:pPr>
      <w:r>
        <w:rPr>
          <w:sz w:val="24"/>
        </w:rPr>
        <mc:AlternateContent>
          <mc:Choice Requires="wps">
            <w:drawing>
              <wp:anchor distT="0" distB="0" distL="0" distR="0" allowOverlap="1" layoutInCell="1" locked="0" behindDoc="0" simplePos="0" relativeHeight="15743488">
                <wp:simplePos x="0" y="0"/>
                <wp:positionH relativeFrom="page">
                  <wp:posOffset>270575</wp:posOffset>
                </wp:positionH>
                <wp:positionV relativeFrom="page">
                  <wp:posOffset>1114363</wp:posOffset>
                </wp:positionV>
                <wp:extent cx="146050" cy="921004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146050" cy="9210040"/>
                        </a:xfrm>
                        <a:prstGeom prst="rect">
                          <a:avLst/>
                        </a:prstGeom>
                      </wps:spPr>
                      <wps:txbx>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wps:txbx>
                      <wps:bodyPr wrap="square" lIns="0" tIns="0" rIns="0" bIns="0" rtlCol="0" vert="vert270">
                        <a:noAutofit/>
                      </wps:bodyPr>
                    </wps:wsp>
                  </a:graphicData>
                </a:graphic>
              </wp:anchor>
            </w:drawing>
          </mc:Choice>
          <mc:Fallback>
            <w:pict>
              <v:shape style="position:absolute;margin-left:21.305176pt;margin-top:87.745193pt;width:11.5pt;height:725.2pt;mso-position-horizontal-relative:page;mso-position-vertical-relative:page;z-index:15743488" type="#_x0000_t202" id="docshape22" filled="false" stroked="false">
                <v:textbox inset="0,0,0,0" style="layout-flow:vertical;mso-layout-flow-alt:bottom-to-top">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v:textbox>
                <w10:wrap type="none"/>
              </v:shape>
            </w:pict>
          </mc:Fallback>
        </mc:AlternateContent>
      </w:r>
      <w:r>
        <w:rPr>
          <w:sz w:val="24"/>
        </w:rPr>
        <w:t>Conformément à l’article</w:t>
      </w:r>
      <w:r>
        <w:rPr>
          <w:spacing w:val="-2"/>
          <w:sz w:val="24"/>
        </w:rPr>
        <w:t> </w:t>
      </w:r>
      <w:r>
        <w:rPr>
          <w:sz w:val="24"/>
        </w:rPr>
        <w:t>27, paragraphe</w:t>
      </w:r>
      <w:r>
        <w:rPr>
          <w:spacing w:val="-3"/>
          <w:sz w:val="24"/>
        </w:rPr>
        <w:t> </w:t>
      </w:r>
      <w:r>
        <w:rPr>
          <w:sz w:val="24"/>
        </w:rPr>
        <w:t>4, du RDMUE, la chambre de recours ne peut accepter</w:t>
      </w:r>
      <w:r>
        <w:rPr>
          <w:spacing w:val="-4"/>
          <w:sz w:val="24"/>
        </w:rPr>
        <w:t> </w:t>
      </w:r>
      <w:r>
        <w:rPr>
          <w:sz w:val="24"/>
        </w:rPr>
        <w:t>des</w:t>
      </w:r>
      <w:r>
        <w:rPr>
          <w:spacing w:val="-2"/>
          <w:sz w:val="24"/>
        </w:rPr>
        <w:t> </w:t>
      </w:r>
      <w:r>
        <w:rPr>
          <w:sz w:val="24"/>
        </w:rPr>
        <w:t>faits</w:t>
      </w:r>
      <w:r>
        <w:rPr>
          <w:spacing w:val="-1"/>
          <w:sz w:val="24"/>
        </w:rPr>
        <w:t> </w:t>
      </w:r>
      <w:r>
        <w:rPr>
          <w:sz w:val="24"/>
        </w:rPr>
        <w:t>invoqués</w:t>
      </w:r>
      <w:r>
        <w:rPr>
          <w:spacing w:val="-2"/>
          <w:sz w:val="24"/>
        </w:rPr>
        <w:t> </w:t>
      </w:r>
      <w:r>
        <w:rPr>
          <w:sz w:val="24"/>
        </w:rPr>
        <w:t>ou</w:t>
      </w:r>
      <w:r>
        <w:rPr>
          <w:spacing w:val="-2"/>
          <w:sz w:val="24"/>
        </w:rPr>
        <w:t> </w:t>
      </w:r>
      <w:r>
        <w:rPr>
          <w:sz w:val="24"/>
        </w:rPr>
        <w:t>des</w:t>
      </w:r>
      <w:r>
        <w:rPr>
          <w:spacing w:val="-2"/>
          <w:sz w:val="24"/>
        </w:rPr>
        <w:t> </w:t>
      </w:r>
      <w:r>
        <w:rPr>
          <w:sz w:val="24"/>
        </w:rPr>
        <w:t>preuves</w:t>
      </w:r>
      <w:r>
        <w:rPr>
          <w:spacing w:val="-2"/>
          <w:sz w:val="24"/>
        </w:rPr>
        <w:t> </w:t>
      </w:r>
      <w:r>
        <w:rPr>
          <w:sz w:val="24"/>
        </w:rPr>
        <w:t>produites</w:t>
      </w:r>
      <w:r>
        <w:rPr>
          <w:spacing w:val="-2"/>
          <w:sz w:val="24"/>
        </w:rPr>
        <w:t> </w:t>
      </w:r>
      <w:r>
        <w:rPr>
          <w:sz w:val="24"/>
        </w:rPr>
        <w:t>pour</w:t>
      </w:r>
      <w:r>
        <w:rPr>
          <w:spacing w:val="-4"/>
          <w:sz w:val="24"/>
        </w:rPr>
        <w:t> </w:t>
      </w:r>
      <w:r>
        <w:rPr>
          <w:sz w:val="24"/>
        </w:rPr>
        <w:t>la</w:t>
      </w:r>
      <w:r>
        <w:rPr>
          <w:spacing w:val="-2"/>
          <w:sz w:val="24"/>
        </w:rPr>
        <w:t> </w:t>
      </w:r>
      <w:r>
        <w:rPr>
          <w:sz w:val="24"/>
        </w:rPr>
        <w:t>première</w:t>
      </w:r>
      <w:r>
        <w:rPr>
          <w:spacing w:val="-3"/>
          <w:sz w:val="24"/>
        </w:rPr>
        <w:t> </w:t>
      </w:r>
      <w:r>
        <w:rPr>
          <w:sz w:val="24"/>
        </w:rPr>
        <w:t>fois</w:t>
      </w:r>
      <w:r>
        <w:rPr>
          <w:spacing w:val="-2"/>
          <w:sz w:val="24"/>
        </w:rPr>
        <w:t> </w:t>
      </w:r>
      <w:r>
        <w:rPr>
          <w:sz w:val="24"/>
        </w:rPr>
        <w:t>devant</w:t>
      </w:r>
      <w:r>
        <w:rPr>
          <w:spacing w:val="-2"/>
          <w:sz w:val="24"/>
        </w:rPr>
        <w:t> </w:t>
      </w:r>
      <w:r>
        <w:rPr>
          <w:sz w:val="24"/>
        </w:rPr>
        <w:t>elle</w:t>
      </w:r>
      <w:r>
        <w:rPr>
          <w:spacing w:val="-2"/>
          <w:sz w:val="24"/>
        </w:rPr>
        <w:t> </w:t>
      </w:r>
      <w:r>
        <w:rPr>
          <w:sz w:val="24"/>
        </w:rPr>
        <w:t>que si ces faits ou preuves répondent aux exigences suivantes: a) ils sont, à première vue, susceptibles d’être pertinents pour l’issue de l’affaire et b) ils n’ont pas été présentés en temps utile pour des raisons valables, en particulier lorsqu’ils viennent simplement compléter des faits et des preuves pertinents qui avaient déjà été produits en temps utile, ou</w:t>
      </w:r>
      <w:r>
        <w:rPr>
          <w:spacing w:val="-4"/>
          <w:sz w:val="24"/>
        </w:rPr>
        <w:t> </w:t>
      </w:r>
      <w:r>
        <w:rPr>
          <w:sz w:val="24"/>
        </w:rPr>
        <w:t>sont</w:t>
      </w:r>
      <w:r>
        <w:rPr>
          <w:spacing w:val="-4"/>
          <w:sz w:val="24"/>
        </w:rPr>
        <w:t> </w:t>
      </w:r>
      <w:r>
        <w:rPr>
          <w:sz w:val="24"/>
        </w:rPr>
        <w:t>soumis</w:t>
      </w:r>
      <w:r>
        <w:rPr>
          <w:spacing w:val="-5"/>
          <w:sz w:val="24"/>
        </w:rPr>
        <w:t> </w:t>
      </w:r>
      <w:r>
        <w:rPr>
          <w:sz w:val="24"/>
        </w:rPr>
        <w:t>pour</w:t>
      </w:r>
      <w:r>
        <w:rPr>
          <w:spacing w:val="-6"/>
          <w:sz w:val="24"/>
        </w:rPr>
        <w:t> </w:t>
      </w:r>
      <w:r>
        <w:rPr>
          <w:sz w:val="24"/>
        </w:rPr>
        <w:t>contester</w:t>
      </w:r>
      <w:r>
        <w:rPr>
          <w:spacing w:val="-4"/>
          <w:sz w:val="24"/>
        </w:rPr>
        <w:t> </w:t>
      </w:r>
      <w:r>
        <w:rPr>
          <w:sz w:val="24"/>
        </w:rPr>
        <w:t>des</w:t>
      </w:r>
      <w:r>
        <w:rPr>
          <w:spacing w:val="-5"/>
          <w:sz w:val="24"/>
        </w:rPr>
        <w:t> </w:t>
      </w:r>
      <w:r>
        <w:rPr>
          <w:sz w:val="24"/>
        </w:rPr>
        <w:t>conclusions</w:t>
      </w:r>
      <w:r>
        <w:rPr>
          <w:spacing w:val="-5"/>
          <w:sz w:val="24"/>
        </w:rPr>
        <w:t> </w:t>
      </w:r>
      <w:r>
        <w:rPr>
          <w:sz w:val="24"/>
        </w:rPr>
        <w:t>tirées</w:t>
      </w:r>
      <w:r>
        <w:rPr>
          <w:spacing w:val="-5"/>
          <w:sz w:val="24"/>
        </w:rPr>
        <w:t> </w:t>
      </w:r>
      <w:r>
        <w:rPr>
          <w:sz w:val="24"/>
        </w:rPr>
        <w:t>ou</w:t>
      </w:r>
      <w:r>
        <w:rPr>
          <w:spacing w:val="-4"/>
          <w:sz w:val="24"/>
        </w:rPr>
        <w:t> </w:t>
      </w:r>
      <w:r>
        <w:rPr>
          <w:sz w:val="24"/>
        </w:rPr>
        <w:t>examinés</w:t>
      </w:r>
      <w:r>
        <w:rPr>
          <w:spacing w:val="-6"/>
          <w:sz w:val="24"/>
        </w:rPr>
        <w:t> </w:t>
      </w:r>
      <w:r>
        <w:rPr>
          <w:sz w:val="24"/>
        </w:rPr>
        <w:t>d’office</w:t>
      </w:r>
      <w:r>
        <w:rPr>
          <w:spacing w:val="-5"/>
          <w:sz w:val="24"/>
        </w:rPr>
        <w:t> </w:t>
      </w:r>
      <w:r>
        <w:rPr>
          <w:sz w:val="24"/>
        </w:rPr>
        <w:t>par</w:t>
      </w:r>
      <w:r>
        <w:rPr>
          <w:spacing w:val="-4"/>
          <w:sz w:val="24"/>
        </w:rPr>
        <w:t> </w:t>
      </w:r>
      <w:r>
        <w:rPr>
          <w:sz w:val="24"/>
        </w:rPr>
        <w:t>la</w:t>
      </w:r>
      <w:r>
        <w:rPr>
          <w:spacing w:val="-3"/>
          <w:sz w:val="24"/>
        </w:rPr>
        <w:t> </w:t>
      </w:r>
      <w:r>
        <w:rPr>
          <w:sz w:val="24"/>
        </w:rPr>
        <w:t>première instance dans la décision objet du recours.</w:t>
      </w:r>
    </w:p>
    <w:p>
      <w:pPr>
        <w:pStyle w:val="ListParagraph"/>
        <w:numPr>
          <w:ilvl w:val="0"/>
          <w:numId w:val="1"/>
        </w:numPr>
        <w:tabs>
          <w:tab w:pos="590" w:val="left" w:leader="none"/>
        </w:tabs>
        <w:spacing w:line="240" w:lineRule="auto" w:before="240" w:after="0"/>
        <w:ind w:left="590" w:right="163" w:hanging="425"/>
        <w:jc w:val="both"/>
        <w:rPr>
          <w:sz w:val="24"/>
        </w:rPr>
      </w:pPr>
      <w:r>
        <w:rPr>
          <w:sz w:val="24"/>
        </w:rPr>
        <w:t>Au stade du recours, l’opposante a réitéré son argument relatif à la reconnaissance des deux marques antérieures sur le marché par l’usage et a produit des éléments de preuve à l’appui de cette allégation (annexes 1 à 2 présentées devant la division d’opposition et annexes 3 à 20 produites avec le mémoire exposant les motifs du recours, tous énumérés au paragraphe 7).</w:t>
      </w:r>
    </w:p>
    <w:p>
      <w:pPr>
        <w:pStyle w:val="ListParagraph"/>
        <w:numPr>
          <w:ilvl w:val="0"/>
          <w:numId w:val="1"/>
        </w:numPr>
        <w:tabs>
          <w:tab w:pos="590" w:val="left" w:leader="none"/>
        </w:tabs>
        <w:spacing w:line="240" w:lineRule="auto" w:before="241" w:after="0"/>
        <w:ind w:left="590" w:right="164" w:hanging="425"/>
        <w:jc w:val="both"/>
        <w:rPr>
          <w:sz w:val="24"/>
        </w:rPr>
      </w:pPr>
      <w:r>
        <w:rPr>
          <w:sz w:val="24"/>
        </w:rPr>
        <w:t>La</w:t>
      </w:r>
      <w:r>
        <w:rPr>
          <w:spacing w:val="-5"/>
          <w:sz w:val="24"/>
        </w:rPr>
        <w:t> </w:t>
      </w:r>
      <w:r>
        <w:rPr>
          <w:sz w:val="24"/>
        </w:rPr>
        <w:t>demanderesse</w:t>
      </w:r>
      <w:r>
        <w:rPr>
          <w:spacing w:val="-4"/>
          <w:sz w:val="24"/>
        </w:rPr>
        <w:t> </w:t>
      </w:r>
      <w:r>
        <w:rPr>
          <w:sz w:val="24"/>
        </w:rPr>
        <w:t>n’a</w:t>
      </w:r>
      <w:r>
        <w:rPr>
          <w:spacing w:val="-8"/>
          <w:sz w:val="24"/>
        </w:rPr>
        <w:t> </w:t>
      </w:r>
      <w:r>
        <w:rPr>
          <w:sz w:val="24"/>
        </w:rPr>
        <w:t>pas</w:t>
      </w:r>
      <w:r>
        <w:rPr>
          <w:spacing w:val="-4"/>
          <w:sz w:val="24"/>
        </w:rPr>
        <w:t> </w:t>
      </w:r>
      <w:r>
        <w:rPr>
          <w:sz w:val="24"/>
        </w:rPr>
        <w:t>contesté</w:t>
      </w:r>
      <w:r>
        <w:rPr>
          <w:spacing w:val="-7"/>
          <w:sz w:val="24"/>
        </w:rPr>
        <w:t> </w:t>
      </w:r>
      <w:r>
        <w:rPr>
          <w:sz w:val="24"/>
        </w:rPr>
        <w:t>la</w:t>
      </w:r>
      <w:r>
        <w:rPr>
          <w:spacing w:val="-3"/>
          <w:sz w:val="24"/>
        </w:rPr>
        <w:t> </w:t>
      </w:r>
      <w:r>
        <w:rPr>
          <w:sz w:val="24"/>
        </w:rPr>
        <w:t>recevabilité</w:t>
      </w:r>
      <w:r>
        <w:rPr>
          <w:spacing w:val="-7"/>
          <w:sz w:val="24"/>
        </w:rPr>
        <w:t> </w:t>
      </w:r>
      <w:r>
        <w:rPr>
          <w:sz w:val="24"/>
        </w:rPr>
        <w:t>de</w:t>
      </w:r>
      <w:r>
        <w:rPr>
          <w:spacing w:val="-7"/>
          <w:sz w:val="24"/>
        </w:rPr>
        <w:t> </w:t>
      </w:r>
      <w:r>
        <w:rPr>
          <w:sz w:val="24"/>
        </w:rPr>
        <w:t>l’allégation</w:t>
      </w:r>
      <w:r>
        <w:rPr>
          <w:spacing w:val="-6"/>
          <w:sz w:val="24"/>
        </w:rPr>
        <w:t> </w:t>
      </w:r>
      <w:r>
        <w:rPr>
          <w:sz w:val="24"/>
        </w:rPr>
        <w:t>et</w:t>
      </w:r>
      <w:r>
        <w:rPr>
          <w:spacing w:val="-5"/>
          <w:sz w:val="24"/>
        </w:rPr>
        <w:t> </w:t>
      </w:r>
      <w:r>
        <w:rPr>
          <w:sz w:val="24"/>
        </w:rPr>
        <w:t>des</w:t>
      </w:r>
      <w:r>
        <w:rPr>
          <w:spacing w:val="-6"/>
          <w:sz w:val="24"/>
        </w:rPr>
        <w:t> </w:t>
      </w:r>
      <w:r>
        <w:rPr>
          <w:sz w:val="24"/>
        </w:rPr>
        <w:t>éléments</w:t>
      </w:r>
      <w:r>
        <w:rPr>
          <w:spacing w:val="-5"/>
          <w:sz w:val="24"/>
        </w:rPr>
        <w:t> </w:t>
      </w:r>
      <w:r>
        <w:rPr>
          <w:sz w:val="24"/>
        </w:rPr>
        <w:t>de</w:t>
      </w:r>
      <w:r>
        <w:rPr>
          <w:spacing w:val="-7"/>
          <w:sz w:val="24"/>
        </w:rPr>
        <w:t> </w:t>
      </w:r>
      <w:r>
        <w:rPr>
          <w:sz w:val="24"/>
        </w:rPr>
        <w:t>preuve </w:t>
      </w:r>
      <w:r>
        <w:rPr>
          <w:spacing w:val="-2"/>
          <w:sz w:val="24"/>
        </w:rPr>
        <w:t>pertinents.</w:t>
      </w:r>
    </w:p>
    <w:p>
      <w:pPr>
        <w:pStyle w:val="ListParagraph"/>
        <w:numPr>
          <w:ilvl w:val="0"/>
          <w:numId w:val="1"/>
        </w:numPr>
        <w:tabs>
          <w:tab w:pos="590" w:val="left" w:leader="none"/>
        </w:tabs>
        <w:spacing w:line="240" w:lineRule="auto" w:before="240" w:after="0"/>
        <w:ind w:left="590" w:right="160" w:hanging="425"/>
        <w:jc w:val="both"/>
        <w:rPr>
          <w:sz w:val="24"/>
        </w:rPr>
      </w:pPr>
      <w:r>
        <w:rPr>
          <w:sz w:val="24"/>
        </w:rPr>
        <w:t>En</w:t>
      </w:r>
      <w:r>
        <w:rPr>
          <w:spacing w:val="-10"/>
          <w:sz w:val="24"/>
        </w:rPr>
        <w:t> </w:t>
      </w:r>
      <w:r>
        <w:rPr>
          <w:sz w:val="24"/>
        </w:rPr>
        <w:t>l’espèce,</w:t>
      </w:r>
      <w:r>
        <w:rPr>
          <w:spacing w:val="-9"/>
          <w:sz w:val="24"/>
        </w:rPr>
        <w:t> </w:t>
      </w:r>
      <w:r>
        <w:rPr>
          <w:sz w:val="24"/>
        </w:rPr>
        <w:t>les</w:t>
      </w:r>
      <w:r>
        <w:rPr>
          <w:spacing w:val="-10"/>
          <w:sz w:val="24"/>
        </w:rPr>
        <w:t> </w:t>
      </w:r>
      <w:r>
        <w:rPr>
          <w:sz w:val="24"/>
        </w:rPr>
        <w:t>conditions</w:t>
      </w:r>
      <w:r>
        <w:rPr>
          <w:spacing w:val="-9"/>
          <w:sz w:val="24"/>
        </w:rPr>
        <w:t> </w:t>
      </w:r>
      <w:r>
        <w:rPr>
          <w:sz w:val="24"/>
        </w:rPr>
        <w:t>permettant</w:t>
      </w:r>
      <w:r>
        <w:rPr>
          <w:spacing w:val="-9"/>
          <w:sz w:val="24"/>
        </w:rPr>
        <w:t> </w:t>
      </w:r>
      <w:r>
        <w:rPr>
          <w:sz w:val="24"/>
        </w:rPr>
        <w:t>l’acceptation</w:t>
      </w:r>
      <w:r>
        <w:rPr>
          <w:spacing w:val="-9"/>
          <w:sz w:val="24"/>
        </w:rPr>
        <w:t> </w:t>
      </w:r>
      <w:r>
        <w:rPr>
          <w:sz w:val="24"/>
        </w:rPr>
        <w:t>des</w:t>
      </w:r>
      <w:r>
        <w:rPr>
          <w:spacing w:val="-9"/>
          <w:sz w:val="24"/>
        </w:rPr>
        <w:t> </w:t>
      </w:r>
      <w:r>
        <w:rPr>
          <w:sz w:val="24"/>
        </w:rPr>
        <w:t>preuves</w:t>
      </w:r>
      <w:r>
        <w:rPr>
          <w:spacing w:val="-9"/>
          <w:sz w:val="24"/>
        </w:rPr>
        <w:t> </w:t>
      </w:r>
      <w:r>
        <w:rPr>
          <w:sz w:val="24"/>
        </w:rPr>
        <w:t>produites</w:t>
      </w:r>
      <w:r>
        <w:rPr>
          <w:spacing w:val="-9"/>
          <w:sz w:val="24"/>
        </w:rPr>
        <w:t> </w:t>
      </w:r>
      <w:r>
        <w:rPr>
          <w:sz w:val="24"/>
        </w:rPr>
        <w:t>tardivement</w:t>
      </w:r>
      <w:r>
        <w:rPr>
          <w:spacing w:val="-9"/>
          <w:sz w:val="24"/>
        </w:rPr>
        <w:t> </w:t>
      </w:r>
      <w:r>
        <w:rPr>
          <w:sz w:val="24"/>
        </w:rPr>
        <w:t>par les deux parties au stade du recours ont été remplies. Les documents produits devant les chambres</w:t>
      </w:r>
      <w:r>
        <w:rPr>
          <w:spacing w:val="-8"/>
          <w:sz w:val="24"/>
        </w:rPr>
        <w:t> </w:t>
      </w:r>
      <w:r>
        <w:rPr>
          <w:sz w:val="24"/>
        </w:rPr>
        <w:t>de</w:t>
      </w:r>
      <w:r>
        <w:rPr>
          <w:spacing w:val="-9"/>
          <w:sz w:val="24"/>
        </w:rPr>
        <w:t> </w:t>
      </w:r>
      <w:r>
        <w:rPr>
          <w:sz w:val="24"/>
        </w:rPr>
        <w:t>recours</w:t>
      </w:r>
      <w:r>
        <w:rPr>
          <w:spacing w:val="-9"/>
          <w:sz w:val="24"/>
        </w:rPr>
        <w:t> </w:t>
      </w:r>
      <w:r>
        <w:rPr>
          <w:sz w:val="24"/>
        </w:rPr>
        <w:t>font</w:t>
      </w:r>
      <w:r>
        <w:rPr>
          <w:spacing w:val="-6"/>
          <w:sz w:val="24"/>
        </w:rPr>
        <w:t> </w:t>
      </w:r>
      <w:r>
        <w:rPr>
          <w:sz w:val="24"/>
        </w:rPr>
        <w:t>référence</w:t>
      </w:r>
      <w:r>
        <w:rPr>
          <w:spacing w:val="-9"/>
          <w:sz w:val="24"/>
        </w:rPr>
        <w:t> </w:t>
      </w:r>
      <w:r>
        <w:rPr>
          <w:sz w:val="24"/>
        </w:rPr>
        <w:t>aux</w:t>
      </w:r>
      <w:r>
        <w:rPr>
          <w:spacing w:val="-6"/>
          <w:sz w:val="24"/>
        </w:rPr>
        <w:t> </w:t>
      </w:r>
      <w:r>
        <w:rPr>
          <w:sz w:val="24"/>
        </w:rPr>
        <w:t>exigences</w:t>
      </w:r>
      <w:r>
        <w:rPr>
          <w:spacing w:val="-6"/>
          <w:sz w:val="24"/>
        </w:rPr>
        <w:t> </w:t>
      </w:r>
      <w:r>
        <w:rPr>
          <w:sz w:val="24"/>
        </w:rPr>
        <w:t>de</w:t>
      </w:r>
      <w:r>
        <w:rPr>
          <w:spacing w:val="-9"/>
          <w:sz w:val="24"/>
        </w:rPr>
        <w:t> </w:t>
      </w:r>
      <w:r>
        <w:rPr>
          <w:sz w:val="24"/>
        </w:rPr>
        <w:t>l’article</w:t>
      </w:r>
      <w:r>
        <w:rPr>
          <w:spacing w:val="-2"/>
          <w:sz w:val="24"/>
        </w:rPr>
        <w:t> </w:t>
      </w:r>
      <w:r>
        <w:rPr>
          <w:sz w:val="24"/>
        </w:rPr>
        <w:t>8,</w:t>
      </w:r>
      <w:r>
        <w:rPr>
          <w:spacing w:val="-8"/>
          <w:sz w:val="24"/>
        </w:rPr>
        <w:t> </w:t>
      </w:r>
      <w:r>
        <w:rPr>
          <w:sz w:val="24"/>
        </w:rPr>
        <w:t>paragraphe</w:t>
      </w:r>
      <w:r>
        <w:rPr>
          <w:spacing w:val="-1"/>
          <w:sz w:val="24"/>
        </w:rPr>
        <w:t> </w:t>
      </w:r>
      <w:r>
        <w:rPr>
          <w:sz w:val="24"/>
        </w:rPr>
        <w:t>1,</w:t>
      </w:r>
      <w:r>
        <w:rPr>
          <w:spacing w:val="-8"/>
          <w:sz w:val="24"/>
        </w:rPr>
        <w:t> </w:t>
      </w:r>
      <w:r>
        <w:rPr>
          <w:sz w:val="24"/>
        </w:rPr>
        <w:t>point</w:t>
      </w:r>
      <w:r>
        <w:rPr>
          <w:spacing w:val="-2"/>
          <w:sz w:val="24"/>
        </w:rPr>
        <w:t> </w:t>
      </w:r>
      <w:r>
        <w:rPr>
          <w:sz w:val="24"/>
        </w:rPr>
        <w:t>b),</w:t>
      </w:r>
      <w:r>
        <w:rPr>
          <w:spacing w:val="-9"/>
          <w:sz w:val="24"/>
        </w:rPr>
        <w:t> </w:t>
      </w:r>
      <w:r>
        <w:rPr>
          <w:sz w:val="24"/>
        </w:rPr>
        <w:t>du RMUE. Les informations et éléments de preuve produits au stade du recours par l’opposante viennent compléter les arguments et documents présentés devant la division d’opposition et la chambre de recours en ce qui concerne le prétendu caractère distinctif accru des marques antérieures, qui a été examiné et rejeté par la décision attaquée. Les éléments de preuve supplémentaires sont également, </w:t>
      </w:r>
      <w:r>
        <w:rPr>
          <w:i/>
          <w:sz w:val="24"/>
        </w:rPr>
        <w:t>à première vue</w:t>
      </w:r>
      <w:r>
        <w:rPr>
          <w:sz w:val="24"/>
        </w:rPr>
        <w:t>, pertinents pour l’issue</w:t>
      </w:r>
      <w:r>
        <w:rPr>
          <w:spacing w:val="-3"/>
          <w:sz w:val="24"/>
        </w:rPr>
        <w:t> </w:t>
      </w:r>
      <w:r>
        <w:rPr>
          <w:sz w:val="24"/>
        </w:rPr>
        <w:t>de</w:t>
      </w:r>
      <w:r>
        <w:rPr>
          <w:spacing w:val="-3"/>
          <w:sz w:val="24"/>
        </w:rPr>
        <w:t> </w:t>
      </w:r>
      <w:r>
        <w:rPr>
          <w:sz w:val="24"/>
        </w:rPr>
        <w:t>l’espèce,</w:t>
      </w:r>
      <w:r>
        <w:rPr>
          <w:spacing w:val="-3"/>
          <w:sz w:val="24"/>
        </w:rPr>
        <w:t> </w:t>
      </w:r>
      <w:r>
        <w:rPr>
          <w:sz w:val="24"/>
        </w:rPr>
        <w:t>étant</w:t>
      </w:r>
      <w:r>
        <w:rPr>
          <w:spacing w:val="-1"/>
          <w:sz w:val="24"/>
        </w:rPr>
        <w:t> </w:t>
      </w:r>
      <w:r>
        <w:rPr>
          <w:sz w:val="24"/>
        </w:rPr>
        <w:t>donné,</w:t>
      </w:r>
      <w:r>
        <w:rPr>
          <w:spacing w:val="-3"/>
          <w:sz w:val="24"/>
        </w:rPr>
        <w:t> </w:t>
      </w:r>
      <w:r>
        <w:rPr>
          <w:sz w:val="24"/>
        </w:rPr>
        <w:t>entre</w:t>
      </w:r>
      <w:r>
        <w:rPr>
          <w:spacing w:val="-2"/>
          <w:sz w:val="24"/>
        </w:rPr>
        <w:t> </w:t>
      </w:r>
      <w:r>
        <w:rPr>
          <w:sz w:val="24"/>
        </w:rPr>
        <w:t>autres,</w:t>
      </w:r>
      <w:r>
        <w:rPr>
          <w:spacing w:val="-3"/>
          <w:sz w:val="24"/>
        </w:rPr>
        <w:t> </w:t>
      </w:r>
      <w:r>
        <w:rPr>
          <w:sz w:val="24"/>
        </w:rPr>
        <w:t>que</w:t>
      </w:r>
      <w:r>
        <w:rPr>
          <w:spacing w:val="-3"/>
          <w:sz w:val="24"/>
        </w:rPr>
        <w:t> </w:t>
      </w:r>
      <w:r>
        <w:rPr>
          <w:sz w:val="24"/>
        </w:rPr>
        <w:t>la</w:t>
      </w:r>
      <w:r>
        <w:rPr>
          <w:spacing w:val="-3"/>
          <w:sz w:val="24"/>
        </w:rPr>
        <w:t> </w:t>
      </w:r>
      <w:r>
        <w:rPr>
          <w:sz w:val="24"/>
        </w:rPr>
        <w:t>division</w:t>
      </w:r>
      <w:r>
        <w:rPr>
          <w:spacing w:val="-3"/>
          <w:sz w:val="24"/>
        </w:rPr>
        <w:t> </w:t>
      </w:r>
      <w:r>
        <w:rPr>
          <w:sz w:val="24"/>
        </w:rPr>
        <w:t>d’opposition</w:t>
      </w:r>
      <w:r>
        <w:rPr>
          <w:spacing w:val="-3"/>
          <w:sz w:val="24"/>
        </w:rPr>
        <w:t> </w:t>
      </w:r>
      <w:r>
        <w:rPr>
          <w:sz w:val="24"/>
        </w:rPr>
        <w:t>a</w:t>
      </w:r>
      <w:r>
        <w:rPr>
          <w:spacing w:val="-5"/>
          <w:sz w:val="24"/>
        </w:rPr>
        <w:t> </w:t>
      </w:r>
      <w:r>
        <w:rPr>
          <w:sz w:val="24"/>
        </w:rPr>
        <w:t>affirmé</w:t>
      </w:r>
      <w:r>
        <w:rPr>
          <w:spacing w:val="-3"/>
          <w:sz w:val="24"/>
        </w:rPr>
        <w:t> </w:t>
      </w:r>
      <w:r>
        <w:rPr>
          <w:sz w:val="24"/>
        </w:rPr>
        <w:t>que</w:t>
      </w:r>
      <w:r>
        <w:rPr>
          <w:spacing w:val="-3"/>
          <w:sz w:val="24"/>
        </w:rPr>
        <w:t> </w:t>
      </w:r>
      <w:r>
        <w:rPr>
          <w:sz w:val="24"/>
        </w:rPr>
        <w:t>la demanderesse n’avait pas produit d’éléments de preuve à l’appui de la revendication pertinente. Enfin, rien ne suggère une négligence ou des tactiques dilatoires en l’espèce &amp;bra; 18/07/2013, 621/11-P, Fishbone/FISHBONE BEACHWEAR (fig.), EU:C:2013:484, § 36 &amp;ket;.</w:t>
      </w:r>
    </w:p>
    <w:p>
      <w:pPr>
        <w:pStyle w:val="ListParagraph"/>
        <w:numPr>
          <w:ilvl w:val="0"/>
          <w:numId w:val="1"/>
        </w:numPr>
        <w:tabs>
          <w:tab w:pos="590" w:val="left" w:leader="none"/>
        </w:tabs>
        <w:spacing w:line="240" w:lineRule="auto" w:before="241" w:after="0"/>
        <w:ind w:left="590" w:right="162" w:hanging="425"/>
        <w:jc w:val="both"/>
        <w:rPr>
          <w:sz w:val="24"/>
        </w:rPr>
      </w:pPr>
      <w:r>
        <w:rPr>
          <w:sz w:val="24"/>
        </w:rPr>
        <w:t>Il</w:t>
      </w:r>
      <w:r>
        <w:rPr>
          <w:spacing w:val="-15"/>
          <w:sz w:val="24"/>
        </w:rPr>
        <w:t> </w:t>
      </w:r>
      <w:r>
        <w:rPr>
          <w:sz w:val="24"/>
        </w:rPr>
        <w:t>s’ensuit</w:t>
      </w:r>
      <w:r>
        <w:rPr>
          <w:spacing w:val="-15"/>
          <w:sz w:val="24"/>
        </w:rPr>
        <w:t> </w:t>
      </w:r>
      <w:r>
        <w:rPr>
          <w:sz w:val="24"/>
        </w:rPr>
        <w:t>que</w:t>
      </w:r>
      <w:r>
        <w:rPr>
          <w:spacing w:val="-15"/>
          <w:sz w:val="24"/>
        </w:rPr>
        <w:t> </w:t>
      </w:r>
      <w:r>
        <w:rPr>
          <w:sz w:val="24"/>
        </w:rPr>
        <w:t>les</w:t>
      </w:r>
      <w:r>
        <w:rPr>
          <w:spacing w:val="-15"/>
          <w:sz w:val="24"/>
        </w:rPr>
        <w:t> </w:t>
      </w:r>
      <w:r>
        <w:rPr>
          <w:sz w:val="24"/>
        </w:rPr>
        <w:t>critères</w:t>
      </w:r>
      <w:r>
        <w:rPr>
          <w:spacing w:val="-15"/>
          <w:sz w:val="24"/>
        </w:rPr>
        <w:t> </w:t>
      </w:r>
      <w:r>
        <w:rPr>
          <w:sz w:val="24"/>
        </w:rPr>
        <w:t>applicables</w:t>
      </w:r>
      <w:r>
        <w:rPr>
          <w:spacing w:val="-15"/>
          <w:sz w:val="24"/>
        </w:rPr>
        <w:t> </w:t>
      </w:r>
      <w:r>
        <w:rPr>
          <w:sz w:val="24"/>
        </w:rPr>
        <w:t>pour</w:t>
      </w:r>
      <w:r>
        <w:rPr>
          <w:spacing w:val="-15"/>
          <w:sz w:val="24"/>
        </w:rPr>
        <w:t> </w:t>
      </w:r>
      <w:r>
        <w:rPr>
          <w:sz w:val="24"/>
        </w:rPr>
        <w:t>l’acceptation</w:t>
      </w:r>
      <w:r>
        <w:rPr>
          <w:spacing w:val="-15"/>
          <w:sz w:val="24"/>
        </w:rPr>
        <w:t> </w:t>
      </w:r>
      <w:r>
        <w:rPr>
          <w:sz w:val="24"/>
        </w:rPr>
        <w:t>des</w:t>
      </w:r>
      <w:r>
        <w:rPr>
          <w:spacing w:val="-15"/>
          <w:sz w:val="24"/>
        </w:rPr>
        <w:t> </w:t>
      </w:r>
      <w:r>
        <w:rPr>
          <w:sz w:val="24"/>
        </w:rPr>
        <w:t>preuves</w:t>
      </w:r>
      <w:r>
        <w:rPr>
          <w:spacing w:val="-15"/>
          <w:sz w:val="24"/>
        </w:rPr>
        <w:t> </w:t>
      </w:r>
      <w:r>
        <w:rPr>
          <w:sz w:val="24"/>
        </w:rPr>
        <w:t>produites</w:t>
      </w:r>
      <w:r>
        <w:rPr>
          <w:spacing w:val="-15"/>
          <w:sz w:val="24"/>
        </w:rPr>
        <w:t> </w:t>
      </w:r>
      <w:r>
        <w:rPr>
          <w:sz w:val="24"/>
        </w:rPr>
        <w:t>tardivement au titre de l’article</w:t>
      </w:r>
      <w:r>
        <w:rPr>
          <w:spacing w:val="-1"/>
          <w:sz w:val="24"/>
        </w:rPr>
        <w:t> </w:t>
      </w:r>
      <w:r>
        <w:rPr>
          <w:sz w:val="24"/>
        </w:rPr>
        <w:t>95, paragraphe</w:t>
      </w:r>
      <w:r>
        <w:rPr>
          <w:spacing w:val="-3"/>
          <w:sz w:val="24"/>
        </w:rPr>
        <w:t> </w:t>
      </w:r>
      <w:r>
        <w:rPr>
          <w:sz w:val="24"/>
        </w:rPr>
        <w:t>2, du RMUE, lu conjointement avec l’article 27, paragraphe</w:t>
      </w:r>
      <w:r>
        <w:rPr>
          <w:spacing w:val="-3"/>
          <w:sz w:val="24"/>
        </w:rPr>
        <w:t> </w:t>
      </w:r>
      <w:r>
        <w:rPr>
          <w:sz w:val="24"/>
        </w:rPr>
        <w:t>3, point</w:t>
      </w:r>
      <w:r>
        <w:rPr>
          <w:spacing w:val="-1"/>
          <w:sz w:val="24"/>
        </w:rPr>
        <w:t> </w:t>
      </w:r>
      <w:r>
        <w:rPr>
          <w:sz w:val="24"/>
        </w:rPr>
        <w:t>b), du RDMUE et l’article</w:t>
      </w:r>
      <w:r>
        <w:rPr>
          <w:spacing w:val="-1"/>
          <w:sz w:val="24"/>
        </w:rPr>
        <w:t> </w:t>
      </w:r>
      <w:r>
        <w:rPr>
          <w:sz w:val="24"/>
        </w:rPr>
        <w:t>27, paragraphe</w:t>
      </w:r>
      <w:r>
        <w:rPr>
          <w:spacing w:val="-3"/>
          <w:sz w:val="24"/>
        </w:rPr>
        <w:t> </w:t>
      </w:r>
      <w:r>
        <w:rPr>
          <w:sz w:val="24"/>
        </w:rPr>
        <w:t>4, du RDMUE, ont été remplis. Par conséquent, tous les faits et preuves présentés dans le cadre de la présente opposition seront considérés comme recevables par la chambre de recours.</w:t>
      </w:r>
    </w:p>
    <w:p>
      <w:pPr>
        <w:pStyle w:val="BodyText"/>
        <w:spacing w:before="84"/>
      </w:pPr>
    </w:p>
    <w:p>
      <w:pPr>
        <w:spacing w:before="0"/>
        <w:ind w:left="590" w:right="0" w:firstLine="0"/>
        <w:jc w:val="left"/>
        <w:rPr>
          <w:i/>
          <w:sz w:val="24"/>
        </w:rPr>
      </w:pPr>
      <w:r>
        <w:rPr>
          <w:i/>
          <w:sz w:val="24"/>
        </w:rPr>
        <w:t>Article</w:t>
      </w:r>
      <w:r>
        <w:rPr>
          <w:i/>
          <w:spacing w:val="-4"/>
          <w:sz w:val="24"/>
        </w:rPr>
        <w:t> </w:t>
      </w:r>
      <w:r>
        <w:rPr>
          <w:i/>
          <w:sz w:val="24"/>
        </w:rPr>
        <w:t>8,</w:t>
      </w:r>
      <w:r>
        <w:rPr>
          <w:i/>
          <w:spacing w:val="-1"/>
          <w:sz w:val="24"/>
        </w:rPr>
        <w:t> </w:t>
      </w:r>
      <w:r>
        <w:rPr>
          <w:i/>
          <w:sz w:val="24"/>
        </w:rPr>
        <w:t>paragraphe 1,</w:t>
      </w:r>
      <w:r>
        <w:rPr>
          <w:i/>
          <w:spacing w:val="-1"/>
          <w:sz w:val="24"/>
        </w:rPr>
        <w:t> </w:t>
      </w:r>
      <w:r>
        <w:rPr>
          <w:i/>
          <w:sz w:val="24"/>
        </w:rPr>
        <w:t>point</w:t>
      </w:r>
      <w:r>
        <w:rPr>
          <w:i/>
          <w:spacing w:val="1"/>
          <w:sz w:val="24"/>
        </w:rPr>
        <w:t> </w:t>
      </w:r>
      <w:r>
        <w:rPr>
          <w:i/>
          <w:sz w:val="24"/>
        </w:rPr>
        <w:t>b),</w:t>
      </w:r>
      <w:r>
        <w:rPr>
          <w:i/>
          <w:spacing w:val="-1"/>
          <w:sz w:val="24"/>
        </w:rPr>
        <w:t> </w:t>
      </w:r>
      <w:r>
        <w:rPr>
          <w:i/>
          <w:sz w:val="24"/>
        </w:rPr>
        <w:t>du</w:t>
      </w:r>
      <w:r>
        <w:rPr>
          <w:i/>
          <w:spacing w:val="-1"/>
          <w:sz w:val="24"/>
        </w:rPr>
        <w:t> </w:t>
      </w:r>
      <w:r>
        <w:rPr>
          <w:i/>
          <w:sz w:val="24"/>
        </w:rPr>
        <w:t>RMUE</w:t>
      </w:r>
      <w:r>
        <w:rPr>
          <w:i/>
          <w:spacing w:val="1"/>
          <w:sz w:val="24"/>
        </w:rPr>
        <w:t> </w:t>
      </w:r>
      <w:r>
        <w:rPr>
          <w:i/>
          <w:sz w:val="24"/>
        </w:rPr>
        <w:t>(risque</w:t>
      </w:r>
      <w:r>
        <w:rPr>
          <w:i/>
          <w:spacing w:val="-2"/>
          <w:sz w:val="24"/>
        </w:rPr>
        <w:t> </w:t>
      </w:r>
      <w:r>
        <w:rPr>
          <w:i/>
          <w:sz w:val="24"/>
        </w:rPr>
        <w:t>de</w:t>
      </w:r>
      <w:r>
        <w:rPr>
          <w:i/>
          <w:spacing w:val="-1"/>
          <w:sz w:val="24"/>
        </w:rPr>
        <w:t> </w:t>
      </w:r>
      <w:r>
        <w:rPr>
          <w:i/>
          <w:spacing w:val="-2"/>
          <w:sz w:val="24"/>
        </w:rPr>
        <w:t>confusion)</w:t>
      </w:r>
    </w:p>
    <w:p>
      <w:pPr>
        <w:pStyle w:val="ListParagraph"/>
        <w:numPr>
          <w:ilvl w:val="0"/>
          <w:numId w:val="1"/>
        </w:numPr>
        <w:tabs>
          <w:tab w:pos="590" w:val="left" w:leader="none"/>
        </w:tabs>
        <w:spacing w:line="240" w:lineRule="auto" w:before="240" w:after="0"/>
        <w:ind w:left="590" w:right="161" w:hanging="425"/>
        <w:jc w:val="both"/>
        <w:rPr>
          <w:sz w:val="24"/>
        </w:rPr>
      </w:pPr>
      <w:r>
        <w:rPr>
          <w:sz w:val="24"/>
        </w:rPr>
        <w:t>En vertu de l’article 8, paragraphe</w:t>
      </w:r>
      <w:r>
        <w:rPr>
          <w:spacing w:val="-2"/>
          <w:sz w:val="24"/>
        </w:rPr>
        <w:t> </w:t>
      </w:r>
      <w:r>
        <w:rPr>
          <w:sz w:val="24"/>
        </w:rPr>
        <w:t>1, point b), du RMUE, une demande de marque de l’Union européenne est refusée sur opposition lorsqu’il existe une marque antérieure au sens de l’article</w:t>
      </w:r>
      <w:r>
        <w:rPr>
          <w:spacing w:val="-2"/>
          <w:sz w:val="24"/>
        </w:rPr>
        <w:t> </w:t>
      </w:r>
      <w:r>
        <w:rPr>
          <w:sz w:val="24"/>
        </w:rPr>
        <w:t>8, paragraphe</w:t>
      </w:r>
      <w:r>
        <w:rPr>
          <w:spacing w:val="-2"/>
          <w:sz w:val="24"/>
        </w:rPr>
        <w:t> </w:t>
      </w:r>
      <w:r>
        <w:rPr>
          <w:sz w:val="24"/>
        </w:rPr>
        <w:t>2, du RMUE et lorsqu’en raison de son identité ou de sa similitude avec la marque antérieure et en raison de l’identité ou de la similitude des produits ou des services que les deux marques désignent, il existe un risque de confusion dans</w:t>
      </w:r>
      <w:r>
        <w:rPr>
          <w:spacing w:val="-13"/>
          <w:sz w:val="24"/>
        </w:rPr>
        <w:t> </w:t>
      </w:r>
      <w:r>
        <w:rPr>
          <w:sz w:val="24"/>
        </w:rPr>
        <w:t>l’esprit</w:t>
      </w:r>
      <w:r>
        <w:rPr>
          <w:spacing w:val="-13"/>
          <w:sz w:val="24"/>
        </w:rPr>
        <w:t> </w:t>
      </w:r>
      <w:r>
        <w:rPr>
          <w:sz w:val="24"/>
        </w:rPr>
        <w:t>du</w:t>
      </w:r>
      <w:r>
        <w:rPr>
          <w:spacing w:val="-13"/>
          <w:sz w:val="24"/>
        </w:rPr>
        <w:t> </w:t>
      </w:r>
      <w:r>
        <w:rPr>
          <w:sz w:val="24"/>
        </w:rPr>
        <w:t>public</w:t>
      </w:r>
      <w:r>
        <w:rPr>
          <w:spacing w:val="-14"/>
          <w:sz w:val="24"/>
        </w:rPr>
        <w:t> </w:t>
      </w:r>
      <w:r>
        <w:rPr>
          <w:sz w:val="24"/>
        </w:rPr>
        <w:t>du</w:t>
      </w:r>
      <w:r>
        <w:rPr>
          <w:spacing w:val="-15"/>
          <w:sz w:val="24"/>
        </w:rPr>
        <w:t> </w:t>
      </w:r>
      <w:r>
        <w:rPr>
          <w:sz w:val="24"/>
        </w:rPr>
        <w:t>territoire</w:t>
      </w:r>
      <w:r>
        <w:rPr>
          <w:spacing w:val="-15"/>
          <w:sz w:val="24"/>
        </w:rPr>
        <w:t> </w:t>
      </w:r>
      <w:r>
        <w:rPr>
          <w:sz w:val="24"/>
        </w:rPr>
        <w:t>dans</w:t>
      </w:r>
      <w:r>
        <w:rPr>
          <w:spacing w:val="-13"/>
          <w:sz w:val="24"/>
        </w:rPr>
        <w:t> </w:t>
      </w:r>
      <w:r>
        <w:rPr>
          <w:sz w:val="24"/>
        </w:rPr>
        <w:t>lequel</w:t>
      </w:r>
      <w:r>
        <w:rPr>
          <w:spacing w:val="-13"/>
          <w:sz w:val="24"/>
        </w:rPr>
        <w:t> </w:t>
      </w:r>
      <w:r>
        <w:rPr>
          <w:sz w:val="24"/>
        </w:rPr>
        <w:t>la</w:t>
      </w:r>
      <w:r>
        <w:rPr>
          <w:spacing w:val="-14"/>
          <w:sz w:val="24"/>
        </w:rPr>
        <w:t> </w:t>
      </w:r>
      <w:r>
        <w:rPr>
          <w:sz w:val="24"/>
        </w:rPr>
        <w:t>marque</w:t>
      </w:r>
      <w:r>
        <w:rPr>
          <w:spacing w:val="-14"/>
          <w:sz w:val="24"/>
        </w:rPr>
        <w:t> </w:t>
      </w:r>
      <w:r>
        <w:rPr>
          <w:sz w:val="24"/>
        </w:rPr>
        <w:t>antérieure</w:t>
      </w:r>
      <w:r>
        <w:rPr>
          <w:spacing w:val="-15"/>
          <w:sz w:val="24"/>
        </w:rPr>
        <w:t> </w:t>
      </w:r>
      <w:r>
        <w:rPr>
          <w:sz w:val="24"/>
        </w:rPr>
        <w:t>est</w:t>
      </w:r>
      <w:r>
        <w:rPr>
          <w:spacing w:val="-11"/>
          <w:sz w:val="24"/>
        </w:rPr>
        <w:t> </w:t>
      </w:r>
      <w:r>
        <w:rPr>
          <w:sz w:val="24"/>
        </w:rPr>
        <w:t>protégée.</w:t>
      </w:r>
      <w:r>
        <w:rPr>
          <w:spacing w:val="-11"/>
          <w:sz w:val="24"/>
        </w:rPr>
        <w:t> </w:t>
      </w:r>
      <w:r>
        <w:rPr>
          <w:sz w:val="24"/>
        </w:rPr>
        <w:t>Le</w:t>
      </w:r>
      <w:r>
        <w:rPr>
          <w:spacing w:val="-14"/>
          <w:sz w:val="24"/>
        </w:rPr>
        <w:t> </w:t>
      </w:r>
      <w:r>
        <w:rPr>
          <w:sz w:val="24"/>
        </w:rPr>
        <w:t>risque de confusion comprend le risque d’association avec la marque antérieure.</w:t>
      </w:r>
    </w:p>
    <w:p>
      <w:pPr>
        <w:pStyle w:val="ListParagraph"/>
        <w:numPr>
          <w:ilvl w:val="0"/>
          <w:numId w:val="1"/>
        </w:numPr>
        <w:tabs>
          <w:tab w:pos="590" w:val="left" w:leader="none"/>
        </w:tabs>
        <w:spacing w:line="240" w:lineRule="auto" w:before="241" w:after="0"/>
        <w:ind w:left="590" w:right="159" w:hanging="425"/>
        <w:jc w:val="both"/>
        <w:rPr>
          <w:sz w:val="24"/>
        </w:rPr>
      </w:pPr>
      <w:r>
        <w:rPr>
          <w:sz w:val="24"/>
        </w:rPr>
        <w:t>Selon</w:t>
      </w:r>
      <w:r>
        <w:rPr>
          <w:spacing w:val="-9"/>
          <w:sz w:val="24"/>
        </w:rPr>
        <w:t> </w:t>
      </w:r>
      <w:r>
        <w:rPr>
          <w:sz w:val="24"/>
        </w:rPr>
        <w:t>une</w:t>
      </w:r>
      <w:r>
        <w:rPr>
          <w:spacing w:val="-11"/>
          <w:sz w:val="24"/>
        </w:rPr>
        <w:t> </w:t>
      </w:r>
      <w:r>
        <w:rPr>
          <w:sz w:val="24"/>
        </w:rPr>
        <w:t>jurisprudence</w:t>
      </w:r>
      <w:r>
        <w:rPr>
          <w:spacing w:val="-8"/>
          <w:sz w:val="24"/>
        </w:rPr>
        <w:t> </w:t>
      </w:r>
      <w:r>
        <w:rPr>
          <w:sz w:val="24"/>
        </w:rPr>
        <w:t>constante,</w:t>
      </w:r>
      <w:r>
        <w:rPr>
          <w:spacing w:val="-10"/>
          <w:sz w:val="24"/>
        </w:rPr>
        <w:t> </w:t>
      </w:r>
      <w:r>
        <w:rPr>
          <w:sz w:val="24"/>
        </w:rPr>
        <w:t>constitue</w:t>
      </w:r>
      <w:r>
        <w:rPr>
          <w:spacing w:val="-11"/>
          <w:sz w:val="24"/>
        </w:rPr>
        <w:t> </w:t>
      </w:r>
      <w:r>
        <w:rPr>
          <w:sz w:val="24"/>
        </w:rPr>
        <w:t>un</w:t>
      </w:r>
      <w:r>
        <w:rPr>
          <w:spacing w:val="-10"/>
          <w:sz w:val="24"/>
        </w:rPr>
        <w:t> </w:t>
      </w:r>
      <w:r>
        <w:rPr>
          <w:sz w:val="24"/>
        </w:rPr>
        <w:t>risque</w:t>
      </w:r>
      <w:r>
        <w:rPr>
          <w:spacing w:val="-10"/>
          <w:sz w:val="24"/>
        </w:rPr>
        <w:t> </w:t>
      </w:r>
      <w:r>
        <w:rPr>
          <w:sz w:val="24"/>
        </w:rPr>
        <w:t>de</w:t>
      </w:r>
      <w:r>
        <w:rPr>
          <w:spacing w:val="-11"/>
          <w:sz w:val="24"/>
        </w:rPr>
        <w:t> </w:t>
      </w:r>
      <w:r>
        <w:rPr>
          <w:sz w:val="24"/>
        </w:rPr>
        <w:t>confusion</w:t>
      </w:r>
      <w:r>
        <w:rPr>
          <w:spacing w:val="-10"/>
          <w:sz w:val="24"/>
        </w:rPr>
        <w:t> </w:t>
      </w:r>
      <w:r>
        <w:rPr>
          <w:sz w:val="24"/>
        </w:rPr>
        <w:t>le</w:t>
      </w:r>
      <w:r>
        <w:rPr>
          <w:spacing w:val="-10"/>
          <w:sz w:val="24"/>
        </w:rPr>
        <w:t> </w:t>
      </w:r>
      <w:r>
        <w:rPr>
          <w:sz w:val="24"/>
        </w:rPr>
        <w:t>risque</w:t>
      </w:r>
      <w:r>
        <w:rPr>
          <w:spacing w:val="-11"/>
          <w:sz w:val="24"/>
        </w:rPr>
        <w:t> </w:t>
      </w:r>
      <w:r>
        <w:rPr>
          <w:sz w:val="24"/>
        </w:rPr>
        <w:t>que</w:t>
      </w:r>
      <w:r>
        <w:rPr>
          <w:spacing w:val="-11"/>
          <w:sz w:val="24"/>
        </w:rPr>
        <w:t> </w:t>
      </w:r>
      <w:r>
        <w:rPr>
          <w:sz w:val="24"/>
        </w:rPr>
        <w:t>le</w:t>
      </w:r>
      <w:r>
        <w:rPr>
          <w:spacing w:val="-10"/>
          <w:sz w:val="24"/>
        </w:rPr>
        <w:t> </w:t>
      </w:r>
      <w:r>
        <w:rPr>
          <w:sz w:val="24"/>
        </w:rPr>
        <w:t>public puisse croire que les produits ou services en cause proviennent de la même entreprise ou, le</w:t>
      </w:r>
      <w:r>
        <w:rPr>
          <w:spacing w:val="80"/>
          <w:w w:val="150"/>
          <w:sz w:val="24"/>
        </w:rPr>
        <w:t> </w:t>
      </w:r>
      <w:r>
        <w:rPr>
          <w:sz w:val="24"/>
        </w:rPr>
        <w:t>cas</w:t>
      </w:r>
      <w:r>
        <w:rPr>
          <w:spacing w:val="80"/>
          <w:w w:val="150"/>
          <w:sz w:val="24"/>
        </w:rPr>
        <w:t> </w:t>
      </w:r>
      <w:r>
        <w:rPr>
          <w:sz w:val="24"/>
        </w:rPr>
        <w:t>échéant,</w:t>
      </w:r>
      <w:r>
        <w:rPr>
          <w:spacing w:val="80"/>
          <w:w w:val="150"/>
          <w:sz w:val="24"/>
        </w:rPr>
        <w:t> </w:t>
      </w:r>
      <w:r>
        <w:rPr>
          <w:sz w:val="24"/>
        </w:rPr>
        <w:t>d’entreprises</w:t>
      </w:r>
      <w:r>
        <w:rPr>
          <w:spacing w:val="80"/>
          <w:w w:val="150"/>
          <w:sz w:val="24"/>
        </w:rPr>
        <w:t> </w:t>
      </w:r>
      <w:r>
        <w:rPr>
          <w:sz w:val="24"/>
        </w:rPr>
        <w:t>liées</w:t>
      </w:r>
      <w:r>
        <w:rPr>
          <w:spacing w:val="80"/>
          <w:w w:val="150"/>
          <w:sz w:val="24"/>
        </w:rPr>
        <w:t> </w:t>
      </w:r>
      <w:r>
        <w:rPr>
          <w:sz w:val="24"/>
        </w:rPr>
        <w:t>économiquement</w:t>
      </w:r>
      <w:r>
        <w:rPr>
          <w:spacing w:val="80"/>
          <w:w w:val="150"/>
          <w:sz w:val="24"/>
        </w:rPr>
        <w:t> </w:t>
      </w:r>
      <w:r>
        <w:rPr>
          <w:sz w:val="24"/>
        </w:rPr>
        <w:t>(11/11/1997,-251/95,</w:t>
      </w:r>
      <w:r>
        <w:rPr>
          <w:spacing w:val="80"/>
          <w:w w:val="150"/>
          <w:sz w:val="24"/>
        </w:rPr>
        <w:t> </w:t>
      </w:r>
      <w:r>
        <w:rPr>
          <w:sz w:val="24"/>
        </w:rPr>
        <w:t>Sabèl,</w:t>
      </w:r>
    </w:p>
    <w:p>
      <w:pPr>
        <w:pStyle w:val="BodyText"/>
        <w:spacing w:before="202"/>
        <w:rPr>
          <w:sz w:val="18"/>
        </w:rPr>
      </w:pPr>
    </w:p>
    <w:p>
      <w:pPr>
        <w:spacing w:before="0"/>
        <w:ind w:left="2737" w:right="2738" w:firstLine="0"/>
        <w:jc w:val="center"/>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p>
      <w:pPr>
        <w:spacing w:after="0"/>
        <w:jc w:val="center"/>
        <w:rPr>
          <w:sz w:val="18"/>
        </w:rPr>
        <w:sectPr>
          <w:pgSz w:w="11910" w:h="16840"/>
          <w:pgMar w:header="970" w:footer="0" w:top="1180" w:bottom="280" w:left="1275" w:right="1275"/>
        </w:sectPr>
      </w:pPr>
    </w:p>
    <w:p>
      <w:pPr>
        <w:pStyle w:val="BodyText"/>
        <w:spacing w:before="249"/>
        <w:ind w:left="590"/>
        <w:jc w:val="both"/>
      </w:pPr>
      <w:r>
        <w:rPr/>
        <mc:AlternateContent>
          <mc:Choice Requires="wps">
            <w:drawing>
              <wp:anchor distT="0" distB="0" distL="0" distR="0" allowOverlap="1" layoutInCell="1" locked="0" behindDoc="0" simplePos="0" relativeHeight="15744000">
                <wp:simplePos x="0" y="0"/>
                <wp:positionH relativeFrom="page">
                  <wp:posOffset>270575</wp:posOffset>
                </wp:positionH>
                <wp:positionV relativeFrom="page">
                  <wp:posOffset>1114363</wp:posOffset>
                </wp:positionV>
                <wp:extent cx="146050" cy="921004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146050" cy="9210040"/>
                        </a:xfrm>
                        <a:prstGeom prst="rect">
                          <a:avLst/>
                        </a:prstGeom>
                      </wps:spPr>
                      <wps:txbx>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wps:txbx>
                      <wps:bodyPr wrap="square" lIns="0" tIns="0" rIns="0" bIns="0" rtlCol="0" vert="vert270">
                        <a:noAutofit/>
                      </wps:bodyPr>
                    </wps:wsp>
                  </a:graphicData>
                </a:graphic>
              </wp:anchor>
            </w:drawing>
          </mc:Choice>
          <mc:Fallback>
            <w:pict>
              <v:shape style="position:absolute;margin-left:21.305176pt;margin-top:87.745193pt;width:11.5pt;height:725.2pt;mso-position-horizontal-relative:page;mso-position-vertical-relative:page;z-index:15744000" type="#_x0000_t202" id="docshape23" filled="false" stroked="false">
                <v:textbox inset="0,0,0,0" style="layout-flow:vertical;mso-layout-flow-alt:bottom-to-top">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v:textbox>
                <w10:wrap type="none"/>
              </v:shape>
            </w:pict>
          </mc:Fallback>
        </mc:AlternateContent>
      </w:r>
      <w:r>
        <w:rPr/>
        <w:t>EU:C:1997:528,</w:t>
      </w:r>
      <w:r>
        <w:rPr>
          <w:spacing w:val="29"/>
        </w:rPr>
        <w:t> </w:t>
      </w:r>
      <w:r>
        <w:rPr/>
        <w:t>§-16;</w:t>
      </w:r>
      <w:r>
        <w:rPr>
          <w:spacing w:val="30"/>
        </w:rPr>
        <w:t> </w:t>
      </w:r>
      <w:r>
        <w:rPr/>
        <w:t>29/09/1998,</w:t>
      </w:r>
      <w:r>
        <w:rPr>
          <w:spacing w:val="29"/>
        </w:rPr>
        <w:t> </w:t>
      </w:r>
      <w:r>
        <w:rPr/>
        <w:t>39/97-,</w:t>
      </w:r>
      <w:r>
        <w:rPr>
          <w:spacing w:val="29"/>
        </w:rPr>
        <w:t> </w:t>
      </w:r>
      <w:r>
        <w:rPr/>
        <w:t>Canon,</w:t>
      </w:r>
      <w:r>
        <w:rPr>
          <w:spacing w:val="29"/>
        </w:rPr>
        <w:t> </w:t>
      </w:r>
      <w:r>
        <w:rPr/>
        <w:t>EU:C:1998:442,</w:t>
      </w:r>
      <w:r>
        <w:rPr>
          <w:spacing w:val="29"/>
        </w:rPr>
        <w:t> </w:t>
      </w:r>
      <w:r>
        <w:rPr/>
        <w:t>§</w:t>
      </w:r>
      <w:r>
        <w:rPr>
          <w:spacing w:val="29"/>
        </w:rPr>
        <w:t> </w:t>
      </w:r>
      <w:r>
        <w:rPr/>
        <w:t>17).</w:t>
      </w:r>
      <w:r>
        <w:rPr>
          <w:spacing w:val="29"/>
        </w:rPr>
        <w:t> </w:t>
      </w:r>
      <w:r>
        <w:rPr/>
        <w:t>Aux</w:t>
      </w:r>
      <w:r>
        <w:rPr>
          <w:spacing w:val="31"/>
        </w:rPr>
        <w:t> </w:t>
      </w:r>
      <w:r>
        <w:rPr/>
        <w:t>fins</w:t>
      </w:r>
      <w:r>
        <w:rPr>
          <w:spacing w:val="29"/>
        </w:rPr>
        <w:t> </w:t>
      </w:r>
      <w:r>
        <w:rPr>
          <w:spacing w:val="-5"/>
        </w:rPr>
        <w:t>de</w:t>
      </w:r>
    </w:p>
    <w:p>
      <w:pPr>
        <w:pStyle w:val="BodyText"/>
        <w:ind w:left="590" w:right="159"/>
        <w:jc w:val="both"/>
      </w:pPr>
      <w:r>
        <w:rPr/>
        <w:t>l’application de l’article 8, paragraphe</w:t>
      </w:r>
      <w:r>
        <w:rPr>
          <w:spacing w:val="-3"/>
        </w:rPr>
        <w:t> </w:t>
      </w:r>
      <w:r>
        <w:rPr/>
        <w:t>1, point</w:t>
      </w:r>
      <w:r>
        <w:rPr>
          <w:spacing w:val="-1"/>
        </w:rPr>
        <w:t> </w:t>
      </w:r>
      <w:r>
        <w:rPr/>
        <w:t>b), du RMUE, un risque de confusion présuppose à la fois une identité ou une similitude des marques en conflit ainsi qu’une identité ou une similitude des produits ou des services qu’elles désignent. Il s’agit là de conditions</w:t>
      </w:r>
      <w:r>
        <w:rPr>
          <w:spacing w:val="-10"/>
        </w:rPr>
        <w:t> </w:t>
      </w:r>
      <w:r>
        <w:rPr/>
        <w:t>cumulatives</w:t>
      </w:r>
      <w:r>
        <w:rPr>
          <w:spacing w:val="-10"/>
        </w:rPr>
        <w:t> </w:t>
      </w:r>
      <w:r>
        <w:rPr/>
        <w:t>(-22/01/2009,</w:t>
      </w:r>
      <w:r>
        <w:rPr>
          <w:spacing w:val="-10"/>
        </w:rPr>
        <w:t> </w:t>
      </w:r>
      <w:r>
        <w:rPr/>
        <w:t>316/07,</w:t>
      </w:r>
      <w:r>
        <w:rPr>
          <w:spacing w:val="-10"/>
        </w:rPr>
        <w:t> </w:t>
      </w:r>
      <w:r>
        <w:rPr/>
        <w:t>easyHotel/EASYHOTEL,</w:t>
      </w:r>
      <w:r>
        <w:rPr>
          <w:spacing w:val="-8"/>
        </w:rPr>
        <w:t> </w:t>
      </w:r>
      <w:r>
        <w:rPr/>
        <w:t>EU:T:2009:14,</w:t>
      </w:r>
      <w:r>
        <w:rPr>
          <w:spacing w:val="-10"/>
        </w:rPr>
        <w:t> </w:t>
      </w:r>
      <w:r>
        <w:rPr/>
        <w:t>§ 42 et-jurisprudence citée).</w:t>
      </w:r>
    </w:p>
    <w:p>
      <w:pPr>
        <w:pStyle w:val="ListParagraph"/>
        <w:numPr>
          <w:ilvl w:val="0"/>
          <w:numId w:val="1"/>
        </w:numPr>
        <w:tabs>
          <w:tab w:pos="590" w:val="left" w:leader="none"/>
        </w:tabs>
        <w:spacing w:line="240" w:lineRule="auto" w:before="240" w:after="0"/>
        <w:ind w:left="590" w:right="161" w:hanging="425"/>
        <w:jc w:val="both"/>
        <w:rPr>
          <w:sz w:val="24"/>
        </w:rPr>
      </w:pPr>
      <w:r>
        <w:rPr>
          <w:sz w:val="24"/>
        </w:rPr>
        <w:t>Conformément à cette même jurisprudence, le risque de confusion doit être apprécié globalement, selon la perception que le public pertinent a des marques et des produits et services en cause, et en tenant compte de tous les facteurs pertinents du cas d’espèce (11/11/1997,-251/95, Sabèl, EU:C:1997:528, § 22; 29/09/1998, 39/97-, Canon, EU:C:1998:442, § 16; 22/06/1999,-342/97, Lloyd Schuhfabrik, EU:C:1999:323, § 18).</w:t>
      </w:r>
    </w:p>
    <w:p>
      <w:pPr>
        <w:pStyle w:val="BodyText"/>
        <w:spacing w:before="85"/>
      </w:pPr>
    </w:p>
    <w:p>
      <w:pPr>
        <w:spacing w:before="0"/>
        <w:ind w:left="590" w:right="0" w:firstLine="0"/>
        <w:jc w:val="both"/>
        <w:rPr>
          <w:i/>
          <w:sz w:val="24"/>
        </w:rPr>
      </w:pPr>
      <w:r>
        <w:rPr>
          <w:i/>
          <w:sz w:val="24"/>
        </w:rPr>
        <w:t>Le</w:t>
      </w:r>
      <w:r>
        <w:rPr>
          <w:i/>
          <w:spacing w:val="-2"/>
          <w:sz w:val="24"/>
        </w:rPr>
        <w:t> </w:t>
      </w:r>
      <w:r>
        <w:rPr>
          <w:i/>
          <w:sz w:val="24"/>
        </w:rPr>
        <w:t>public</w:t>
      </w:r>
      <w:r>
        <w:rPr>
          <w:i/>
          <w:spacing w:val="-1"/>
          <w:sz w:val="24"/>
        </w:rPr>
        <w:t> </w:t>
      </w:r>
      <w:r>
        <w:rPr>
          <w:i/>
          <w:sz w:val="24"/>
        </w:rPr>
        <w:t>pertinent</w:t>
      </w:r>
      <w:r>
        <w:rPr>
          <w:i/>
          <w:spacing w:val="-1"/>
          <w:sz w:val="24"/>
        </w:rPr>
        <w:t> </w:t>
      </w:r>
      <w:r>
        <w:rPr>
          <w:i/>
          <w:sz w:val="24"/>
        </w:rPr>
        <w:t>et le</w:t>
      </w:r>
      <w:r>
        <w:rPr>
          <w:i/>
          <w:spacing w:val="-1"/>
          <w:sz w:val="24"/>
        </w:rPr>
        <w:t> </w:t>
      </w:r>
      <w:r>
        <w:rPr>
          <w:i/>
          <w:sz w:val="24"/>
        </w:rPr>
        <w:t>territoire</w:t>
      </w:r>
      <w:r>
        <w:rPr>
          <w:i/>
          <w:spacing w:val="-1"/>
          <w:sz w:val="24"/>
        </w:rPr>
        <w:t> </w:t>
      </w:r>
      <w:r>
        <w:rPr>
          <w:i/>
          <w:spacing w:val="-2"/>
          <w:sz w:val="24"/>
        </w:rPr>
        <w:t>pertinent</w:t>
      </w:r>
    </w:p>
    <w:p>
      <w:pPr>
        <w:pStyle w:val="ListParagraph"/>
        <w:numPr>
          <w:ilvl w:val="0"/>
          <w:numId w:val="1"/>
        </w:numPr>
        <w:tabs>
          <w:tab w:pos="590" w:val="left" w:leader="none"/>
        </w:tabs>
        <w:spacing w:line="240" w:lineRule="auto" w:before="240" w:after="0"/>
        <w:ind w:left="590" w:right="161" w:hanging="425"/>
        <w:jc w:val="both"/>
        <w:rPr>
          <w:sz w:val="24"/>
        </w:rPr>
      </w:pPr>
      <w:r>
        <w:rPr>
          <w:sz w:val="24"/>
        </w:rPr>
        <w:t>Il convient de tenir compte du consommateur moyen des produits et services concernés, qui</w:t>
      </w:r>
      <w:r>
        <w:rPr>
          <w:spacing w:val="-8"/>
          <w:sz w:val="24"/>
        </w:rPr>
        <w:t> </w:t>
      </w:r>
      <w:r>
        <w:rPr>
          <w:sz w:val="24"/>
        </w:rPr>
        <w:t>est</w:t>
      </w:r>
      <w:r>
        <w:rPr>
          <w:spacing w:val="-8"/>
          <w:sz w:val="24"/>
        </w:rPr>
        <w:t> </w:t>
      </w:r>
      <w:r>
        <w:rPr>
          <w:sz w:val="24"/>
        </w:rPr>
        <w:t>normalement</w:t>
      </w:r>
      <w:r>
        <w:rPr>
          <w:spacing w:val="-8"/>
          <w:sz w:val="24"/>
        </w:rPr>
        <w:t> </w:t>
      </w:r>
      <w:r>
        <w:rPr>
          <w:sz w:val="24"/>
        </w:rPr>
        <w:t>informé</w:t>
      </w:r>
      <w:r>
        <w:rPr>
          <w:spacing w:val="-9"/>
          <w:sz w:val="24"/>
        </w:rPr>
        <w:t> </w:t>
      </w:r>
      <w:r>
        <w:rPr>
          <w:sz w:val="24"/>
        </w:rPr>
        <w:t>et</w:t>
      </w:r>
      <w:r>
        <w:rPr>
          <w:spacing w:val="-8"/>
          <w:sz w:val="24"/>
        </w:rPr>
        <w:t> </w:t>
      </w:r>
      <w:r>
        <w:rPr>
          <w:sz w:val="24"/>
        </w:rPr>
        <w:t>raisonnablement</w:t>
      </w:r>
      <w:r>
        <w:rPr>
          <w:spacing w:val="-8"/>
          <w:sz w:val="24"/>
        </w:rPr>
        <w:t> </w:t>
      </w:r>
      <w:r>
        <w:rPr>
          <w:sz w:val="24"/>
        </w:rPr>
        <w:t>attentif</w:t>
      </w:r>
      <w:r>
        <w:rPr>
          <w:spacing w:val="-9"/>
          <w:sz w:val="24"/>
        </w:rPr>
        <w:t> </w:t>
      </w:r>
      <w:r>
        <w:rPr>
          <w:sz w:val="24"/>
        </w:rPr>
        <w:t>et</w:t>
      </w:r>
      <w:r>
        <w:rPr>
          <w:spacing w:val="-8"/>
          <w:sz w:val="24"/>
        </w:rPr>
        <w:t> </w:t>
      </w:r>
      <w:r>
        <w:rPr>
          <w:sz w:val="24"/>
        </w:rPr>
        <w:t>avisé.</w:t>
      </w:r>
      <w:r>
        <w:rPr>
          <w:spacing w:val="-6"/>
          <w:sz w:val="24"/>
        </w:rPr>
        <w:t> </w:t>
      </w:r>
      <w:r>
        <w:rPr>
          <w:sz w:val="24"/>
        </w:rPr>
        <w:t>Le</w:t>
      </w:r>
      <w:r>
        <w:rPr>
          <w:spacing w:val="-9"/>
          <w:sz w:val="24"/>
        </w:rPr>
        <w:t> </w:t>
      </w:r>
      <w:r>
        <w:rPr>
          <w:sz w:val="24"/>
        </w:rPr>
        <w:t>niveau</w:t>
      </w:r>
      <w:r>
        <w:rPr>
          <w:spacing w:val="-6"/>
          <w:sz w:val="24"/>
        </w:rPr>
        <w:t> </w:t>
      </w:r>
      <w:r>
        <w:rPr>
          <w:sz w:val="24"/>
        </w:rPr>
        <w:t>d’attention</w:t>
      </w:r>
      <w:r>
        <w:rPr>
          <w:spacing w:val="-8"/>
          <w:sz w:val="24"/>
        </w:rPr>
        <w:t> </w:t>
      </w:r>
      <w:r>
        <w:rPr>
          <w:sz w:val="24"/>
        </w:rPr>
        <w:t>du consommateur</w:t>
      </w:r>
      <w:r>
        <w:rPr>
          <w:spacing w:val="-2"/>
          <w:sz w:val="24"/>
        </w:rPr>
        <w:t> </w:t>
      </w:r>
      <w:r>
        <w:rPr>
          <w:sz w:val="24"/>
        </w:rPr>
        <w:t>est</w:t>
      </w:r>
      <w:r>
        <w:rPr>
          <w:spacing w:val="-1"/>
          <w:sz w:val="24"/>
        </w:rPr>
        <w:t> </w:t>
      </w:r>
      <w:r>
        <w:rPr>
          <w:sz w:val="24"/>
        </w:rPr>
        <w:t>susceptible</w:t>
      </w:r>
      <w:r>
        <w:rPr>
          <w:spacing w:val="-2"/>
          <w:sz w:val="24"/>
        </w:rPr>
        <w:t> </w:t>
      </w:r>
      <w:r>
        <w:rPr>
          <w:sz w:val="24"/>
        </w:rPr>
        <w:t>de</w:t>
      </w:r>
      <w:r>
        <w:rPr>
          <w:spacing w:val="-2"/>
          <w:sz w:val="24"/>
        </w:rPr>
        <w:t> </w:t>
      </w:r>
      <w:r>
        <w:rPr>
          <w:sz w:val="24"/>
        </w:rPr>
        <w:t>varier</w:t>
      </w:r>
      <w:r>
        <w:rPr>
          <w:spacing w:val="-2"/>
          <w:sz w:val="24"/>
        </w:rPr>
        <w:t> </w:t>
      </w:r>
      <w:r>
        <w:rPr>
          <w:sz w:val="24"/>
        </w:rPr>
        <w:t>en</w:t>
      </w:r>
      <w:r>
        <w:rPr>
          <w:spacing w:val="-1"/>
          <w:sz w:val="24"/>
        </w:rPr>
        <w:t> </w:t>
      </w:r>
      <w:r>
        <w:rPr>
          <w:sz w:val="24"/>
        </w:rPr>
        <w:t>fonction</w:t>
      </w:r>
      <w:r>
        <w:rPr>
          <w:spacing w:val="-1"/>
          <w:sz w:val="24"/>
        </w:rPr>
        <w:t> </w:t>
      </w:r>
      <w:r>
        <w:rPr>
          <w:sz w:val="24"/>
        </w:rPr>
        <w:t>de</w:t>
      </w:r>
      <w:r>
        <w:rPr>
          <w:spacing w:val="-2"/>
          <w:sz w:val="24"/>
        </w:rPr>
        <w:t> </w:t>
      </w:r>
      <w:r>
        <w:rPr>
          <w:sz w:val="24"/>
        </w:rPr>
        <w:t>la</w:t>
      </w:r>
      <w:r>
        <w:rPr>
          <w:spacing w:val="-2"/>
          <w:sz w:val="24"/>
        </w:rPr>
        <w:t> </w:t>
      </w:r>
      <w:r>
        <w:rPr>
          <w:sz w:val="24"/>
        </w:rPr>
        <w:t>catégorie</w:t>
      </w:r>
      <w:r>
        <w:rPr>
          <w:spacing w:val="-3"/>
          <w:sz w:val="24"/>
        </w:rPr>
        <w:t> </w:t>
      </w:r>
      <w:r>
        <w:rPr>
          <w:sz w:val="24"/>
        </w:rPr>
        <w:t>de</w:t>
      </w:r>
      <w:r>
        <w:rPr>
          <w:spacing w:val="-2"/>
          <w:sz w:val="24"/>
        </w:rPr>
        <w:t> </w:t>
      </w:r>
      <w:r>
        <w:rPr>
          <w:sz w:val="24"/>
        </w:rPr>
        <w:t>produits</w:t>
      </w:r>
      <w:r>
        <w:rPr>
          <w:spacing w:val="-1"/>
          <w:sz w:val="24"/>
        </w:rPr>
        <w:t> </w:t>
      </w:r>
      <w:r>
        <w:rPr>
          <w:sz w:val="24"/>
        </w:rPr>
        <w:t>et services en</w:t>
      </w:r>
      <w:r>
        <w:rPr>
          <w:spacing w:val="40"/>
          <w:sz w:val="24"/>
        </w:rPr>
        <w:t> </w:t>
      </w:r>
      <w:r>
        <w:rPr>
          <w:sz w:val="24"/>
        </w:rPr>
        <w:t>cause</w:t>
      </w:r>
      <w:r>
        <w:rPr>
          <w:spacing w:val="39"/>
          <w:sz w:val="24"/>
        </w:rPr>
        <w:t> </w:t>
      </w:r>
      <w:r>
        <w:rPr>
          <w:sz w:val="24"/>
        </w:rPr>
        <w:t>(22/06/1999,-342/97,</w:t>
      </w:r>
      <w:r>
        <w:rPr>
          <w:spacing w:val="40"/>
          <w:sz w:val="24"/>
        </w:rPr>
        <w:t> </w:t>
      </w:r>
      <w:r>
        <w:rPr>
          <w:sz w:val="24"/>
        </w:rPr>
        <w:t>Lloyd</w:t>
      </w:r>
      <w:r>
        <w:rPr>
          <w:spacing w:val="40"/>
          <w:sz w:val="24"/>
        </w:rPr>
        <w:t> </w:t>
      </w:r>
      <w:r>
        <w:rPr>
          <w:sz w:val="24"/>
        </w:rPr>
        <w:t>Schuhfabrik,</w:t>
      </w:r>
      <w:r>
        <w:rPr>
          <w:spacing w:val="40"/>
          <w:sz w:val="24"/>
        </w:rPr>
        <w:t> </w:t>
      </w:r>
      <w:r>
        <w:rPr>
          <w:sz w:val="24"/>
        </w:rPr>
        <w:t>EU:C:1999:323,</w:t>
      </w:r>
      <w:r>
        <w:rPr>
          <w:spacing w:val="40"/>
          <w:sz w:val="24"/>
        </w:rPr>
        <w:t> </w:t>
      </w:r>
      <w:r>
        <w:rPr>
          <w:sz w:val="24"/>
        </w:rPr>
        <w:t>§</w:t>
      </w:r>
      <w:r>
        <w:rPr>
          <w:spacing w:val="37"/>
          <w:sz w:val="24"/>
        </w:rPr>
        <w:t> </w:t>
      </w:r>
      <w:r>
        <w:rPr>
          <w:sz w:val="24"/>
        </w:rPr>
        <w:t>26;</w:t>
      </w:r>
      <w:r>
        <w:rPr>
          <w:spacing w:val="40"/>
          <w:sz w:val="24"/>
        </w:rPr>
        <w:t> </w:t>
      </w:r>
      <w:r>
        <w:rPr>
          <w:sz w:val="24"/>
        </w:rPr>
        <w:t>13/02/2007, T-256/04, Respicur, EU:T:2007:46, § 42).</w:t>
      </w:r>
    </w:p>
    <w:p>
      <w:pPr>
        <w:pStyle w:val="ListParagraph"/>
        <w:numPr>
          <w:ilvl w:val="0"/>
          <w:numId w:val="1"/>
        </w:numPr>
        <w:tabs>
          <w:tab w:pos="590" w:val="left" w:leader="none"/>
        </w:tabs>
        <w:spacing w:line="240" w:lineRule="auto" w:before="240" w:after="0"/>
        <w:ind w:left="590" w:right="162" w:hanging="425"/>
        <w:jc w:val="both"/>
        <w:rPr>
          <w:sz w:val="24"/>
        </w:rPr>
      </w:pPr>
      <w:r>
        <w:rPr>
          <w:sz w:val="24"/>
        </w:rPr>
        <w:t>Le</w:t>
      </w:r>
      <w:r>
        <w:rPr>
          <w:spacing w:val="-9"/>
          <w:sz w:val="24"/>
        </w:rPr>
        <w:t> </w:t>
      </w:r>
      <w:r>
        <w:rPr>
          <w:sz w:val="24"/>
        </w:rPr>
        <w:t>public</w:t>
      </w:r>
      <w:r>
        <w:rPr>
          <w:spacing w:val="-9"/>
          <w:sz w:val="24"/>
        </w:rPr>
        <w:t> </w:t>
      </w:r>
      <w:r>
        <w:rPr>
          <w:sz w:val="24"/>
        </w:rPr>
        <w:t>pertinent</w:t>
      </w:r>
      <w:r>
        <w:rPr>
          <w:spacing w:val="-8"/>
          <w:sz w:val="24"/>
        </w:rPr>
        <w:t> </w:t>
      </w:r>
      <w:r>
        <w:rPr>
          <w:sz w:val="24"/>
        </w:rPr>
        <w:t>est</w:t>
      </w:r>
      <w:r>
        <w:rPr>
          <w:spacing w:val="-8"/>
          <w:sz w:val="24"/>
        </w:rPr>
        <w:t> </w:t>
      </w:r>
      <w:r>
        <w:rPr>
          <w:sz w:val="24"/>
        </w:rPr>
        <w:t>composé</w:t>
      </w:r>
      <w:r>
        <w:rPr>
          <w:spacing w:val="-9"/>
          <w:sz w:val="24"/>
        </w:rPr>
        <w:t> </w:t>
      </w:r>
      <w:r>
        <w:rPr>
          <w:sz w:val="24"/>
        </w:rPr>
        <w:t>de</w:t>
      </w:r>
      <w:r>
        <w:rPr>
          <w:spacing w:val="-9"/>
          <w:sz w:val="24"/>
        </w:rPr>
        <w:t> </w:t>
      </w:r>
      <w:r>
        <w:rPr>
          <w:sz w:val="24"/>
        </w:rPr>
        <w:t>consommateurs</w:t>
      </w:r>
      <w:r>
        <w:rPr>
          <w:spacing w:val="-8"/>
          <w:sz w:val="24"/>
        </w:rPr>
        <w:t> </w:t>
      </w:r>
      <w:r>
        <w:rPr>
          <w:sz w:val="24"/>
        </w:rPr>
        <w:t>susceptibles</w:t>
      </w:r>
      <w:r>
        <w:rPr>
          <w:spacing w:val="-9"/>
          <w:sz w:val="24"/>
        </w:rPr>
        <w:t> </w:t>
      </w:r>
      <w:r>
        <w:rPr>
          <w:sz w:val="24"/>
        </w:rPr>
        <w:t>d’utiliser</w:t>
      </w:r>
      <w:r>
        <w:rPr>
          <w:spacing w:val="-9"/>
          <w:sz w:val="24"/>
        </w:rPr>
        <w:t> </w:t>
      </w:r>
      <w:r>
        <w:rPr>
          <w:sz w:val="24"/>
        </w:rPr>
        <w:t>tant</w:t>
      </w:r>
      <w:r>
        <w:rPr>
          <w:spacing w:val="-8"/>
          <w:sz w:val="24"/>
        </w:rPr>
        <w:t> </w:t>
      </w:r>
      <w:r>
        <w:rPr>
          <w:sz w:val="24"/>
        </w:rPr>
        <w:t>les</w:t>
      </w:r>
      <w:r>
        <w:rPr>
          <w:spacing w:val="-9"/>
          <w:sz w:val="24"/>
        </w:rPr>
        <w:t> </w:t>
      </w:r>
      <w:r>
        <w:rPr>
          <w:sz w:val="24"/>
        </w:rPr>
        <w:t>produits et les services de la marque antérieure que les produits visés par la marque demandée (13/05/2015,-169/14, Koragel/CHORAGON, EU:T:2015:280, § 25 et jurisprudence </w:t>
      </w:r>
      <w:r>
        <w:rPr>
          <w:spacing w:val="-2"/>
          <w:sz w:val="24"/>
        </w:rPr>
        <w:t>citée).</w:t>
      </w:r>
    </w:p>
    <w:p>
      <w:pPr>
        <w:pStyle w:val="ListParagraph"/>
        <w:numPr>
          <w:ilvl w:val="0"/>
          <w:numId w:val="1"/>
        </w:numPr>
        <w:tabs>
          <w:tab w:pos="590" w:val="left" w:leader="none"/>
        </w:tabs>
        <w:spacing w:line="240" w:lineRule="auto" w:before="240" w:after="0"/>
        <w:ind w:left="590" w:right="162" w:hanging="425"/>
        <w:jc w:val="both"/>
        <w:rPr>
          <w:sz w:val="24"/>
        </w:rPr>
      </w:pPr>
      <w:r>
        <w:rPr>
          <w:sz w:val="24"/>
        </w:rPr>
        <w:t>Lorsqu’une</w:t>
      </w:r>
      <w:r>
        <w:rPr>
          <w:spacing w:val="-3"/>
          <w:sz w:val="24"/>
        </w:rPr>
        <w:t> </w:t>
      </w:r>
      <w:r>
        <w:rPr>
          <w:sz w:val="24"/>
        </w:rPr>
        <w:t>partie</w:t>
      </w:r>
      <w:r>
        <w:rPr>
          <w:spacing w:val="-2"/>
          <w:sz w:val="24"/>
        </w:rPr>
        <w:t> </w:t>
      </w:r>
      <w:r>
        <w:rPr>
          <w:sz w:val="24"/>
        </w:rPr>
        <w:t>du</w:t>
      </w:r>
      <w:r>
        <w:rPr>
          <w:spacing w:val="-1"/>
          <w:sz w:val="24"/>
        </w:rPr>
        <w:t> </w:t>
      </w:r>
      <w:r>
        <w:rPr>
          <w:sz w:val="24"/>
        </w:rPr>
        <w:t>public</w:t>
      </w:r>
      <w:r>
        <w:rPr>
          <w:spacing w:val="-2"/>
          <w:sz w:val="24"/>
        </w:rPr>
        <w:t> </w:t>
      </w:r>
      <w:r>
        <w:rPr>
          <w:sz w:val="24"/>
        </w:rPr>
        <w:t>pertinent</w:t>
      </w:r>
      <w:r>
        <w:rPr>
          <w:spacing w:val="-1"/>
          <w:sz w:val="24"/>
        </w:rPr>
        <w:t> </w:t>
      </w:r>
      <w:r>
        <w:rPr>
          <w:sz w:val="24"/>
        </w:rPr>
        <w:t>est</w:t>
      </w:r>
      <w:r>
        <w:rPr>
          <w:spacing w:val="-1"/>
          <w:sz w:val="24"/>
        </w:rPr>
        <w:t> </w:t>
      </w:r>
      <w:r>
        <w:rPr>
          <w:sz w:val="24"/>
        </w:rPr>
        <w:t>composée</w:t>
      </w:r>
      <w:r>
        <w:rPr>
          <w:spacing w:val="-2"/>
          <w:sz w:val="24"/>
        </w:rPr>
        <w:t> </w:t>
      </w:r>
      <w:r>
        <w:rPr>
          <w:sz w:val="24"/>
        </w:rPr>
        <w:t>de</w:t>
      </w:r>
      <w:r>
        <w:rPr>
          <w:spacing w:val="-2"/>
          <w:sz w:val="24"/>
        </w:rPr>
        <w:t> </w:t>
      </w:r>
      <w:r>
        <w:rPr>
          <w:sz w:val="24"/>
        </w:rPr>
        <w:t>professionnels</w:t>
      </w:r>
      <w:r>
        <w:rPr>
          <w:spacing w:val="-1"/>
          <w:sz w:val="24"/>
        </w:rPr>
        <w:t> </w:t>
      </w:r>
      <w:r>
        <w:rPr>
          <w:sz w:val="24"/>
        </w:rPr>
        <w:t>faisant</w:t>
      </w:r>
      <w:r>
        <w:rPr>
          <w:spacing w:val="-1"/>
          <w:sz w:val="24"/>
        </w:rPr>
        <w:t> </w:t>
      </w:r>
      <w:r>
        <w:rPr>
          <w:sz w:val="24"/>
        </w:rPr>
        <w:t>preuve</w:t>
      </w:r>
      <w:r>
        <w:rPr>
          <w:spacing w:val="-2"/>
          <w:sz w:val="24"/>
        </w:rPr>
        <w:t> </w:t>
      </w:r>
      <w:r>
        <w:rPr>
          <w:sz w:val="24"/>
        </w:rPr>
        <w:t>d’un niveau d’attention plus élevé et qu’une autre partie du public pertinent est composée de consommateurs moyens raisonnablement attentifs et avisés, le public ayant le niveau d’attention le moins élevé doit être pris en considération pour apprécier le risque de confusion &amp;bra; 25/06/2020-, 114/19, B (fig.)/b (fig.), EU:T:2020:286, § 36 &amp;ket;.</w:t>
      </w:r>
    </w:p>
    <w:p>
      <w:pPr>
        <w:pStyle w:val="ListParagraph"/>
        <w:numPr>
          <w:ilvl w:val="0"/>
          <w:numId w:val="1"/>
        </w:numPr>
        <w:tabs>
          <w:tab w:pos="590" w:val="left" w:leader="none"/>
        </w:tabs>
        <w:spacing w:line="240" w:lineRule="auto" w:before="241" w:after="0"/>
        <w:ind w:left="590" w:right="157" w:hanging="425"/>
        <w:jc w:val="both"/>
        <w:rPr>
          <w:sz w:val="24"/>
        </w:rPr>
      </w:pPr>
      <w:r>
        <w:rPr>
          <w:sz w:val="24"/>
        </w:rPr>
        <w:t>Tous</w:t>
      </w:r>
      <w:r>
        <w:rPr>
          <w:spacing w:val="-10"/>
          <w:sz w:val="24"/>
        </w:rPr>
        <w:t> </w:t>
      </w:r>
      <w:r>
        <w:rPr>
          <w:sz w:val="24"/>
        </w:rPr>
        <w:t>les</w:t>
      </w:r>
      <w:r>
        <w:rPr>
          <w:spacing w:val="-10"/>
          <w:sz w:val="24"/>
        </w:rPr>
        <w:t> </w:t>
      </w:r>
      <w:r>
        <w:rPr>
          <w:sz w:val="24"/>
        </w:rPr>
        <w:t>produits</w:t>
      </w:r>
      <w:r>
        <w:rPr>
          <w:spacing w:val="-9"/>
          <w:sz w:val="24"/>
        </w:rPr>
        <w:t> </w:t>
      </w:r>
      <w:r>
        <w:rPr>
          <w:sz w:val="24"/>
        </w:rPr>
        <w:t>en</w:t>
      </w:r>
      <w:r>
        <w:rPr>
          <w:spacing w:val="-10"/>
          <w:sz w:val="24"/>
        </w:rPr>
        <w:t> </w:t>
      </w:r>
      <w:r>
        <w:rPr>
          <w:sz w:val="24"/>
        </w:rPr>
        <w:t>cause</w:t>
      </w:r>
      <w:r>
        <w:rPr>
          <w:spacing w:val="-11"/>
          <w:sz w:val="24"/>
        </w:rPr>
        <w:t> </w:t>
      </w:r>
      <w:r>
        <w:rPr>
          <w:sz w:val="24"/>
        </w:rPr>
        <w:t>sont</w:t>
      </w:r>
      <w:r>
        <w:rPr>
          <w:spacing w:val="-9"/>
          <w:sz w:val="24"/>
        </w:rPr>
        <w:t> </w:t>
      </w:r>
      <w:r>
        <w:rPr>
          <w:sz w:val="24"/>
        </w:rPr>
        <w:t>des</w:t>
      </w:r>
      <w:r>
        <w:rPr>
          <w:spacing w:val="-8"/>
          <w:sz w:val="24"/>
        </w:rPr>
        <w:t> </w:t>
      </w:r>
      <w:r>
        <w:rPr>
          <w:i/>
          <w:sz w:val="24"/>
        </w:rPr>
        <w:t>cosmétiques</w:t>
      </w:r>
      <w:r>
        <w:rPr>
          <w:i/>
          <w:spacing w:val="-8"/>
          <w:sz w:val="24"/>
        </w:rPr>
        <w:t> </w:t>
      </w:r>
      <w:r>
        <w:rPr>
          <w:sz w:val="24"/>
        </w:rPr>
        <w:t>compris</w:t>
      </w:r>
      <w:r>
        <w:rPr>
          <w:spacing w:val="-9"/>
          <w:sz w:val="24"/>
        </w:rPr>
        <w:t> </w:t>
      </w:r>
      <w:r>
        <w:rPr>
          <w:sz w:val="24"/>
        </w:rPr>
        <w:t>dans</w:t>
      </w:r>
      <w:r>
        <w:rPr>
          <w:spacing w:val="-9"/>
          <w:sz w:val="24"/>
        </w:rPr>
        <w:t> </w:t>
      </w:r>
      <w:r>
        <w:rPr>
          <w:sz w:val="24"/>
        </w:rPr>
        <w:t>la</w:t>
      </w:r>
      <w:r>
        <w:rPr>
          <w:spacing w:val="-10"/>
          <w:sz w:val="24"/>
        </w:rPr>
        <w:t> </w:t>
      </w:r>
      <w:r>
        <w:rPr>
          <w:sz w:val="24"/>
        </w:rPr>
        <w:t>classe</w:t>
      </w:r>
      <w:r>
        <w:rPr>
          <w:spacing w:val="-11"/>
          <w:sz w:val="24"/>
        </w:rPr>
        <w:t> </w:t>
      </w:r>
      <w:r>
        <w:rPr>
          <w:sz w:val="24"/>
        </w:rPr>
        <w:t>3.</w:t>
      </w:r>
      <w:r>
        <w:rPr>
          <w:spacing w:val="-7"/>
          <w:sz w:val="24"/>
        </w:rPr>
        <w:t> </w:t>
      </w:r>
      <w:r>
        <w:rPr>
          <w:sz w:val="24"/>
        </w:rPr>
        <w:t>Les</w:t>
      </w:r>
      <w:r>
        <w:rPr>
          <w:spacing w:val="-9"/>
          <w:sz w:val="24"/>
        </w:rPr>
        <w:t> </w:t>
      </w:r>
      <w:r>
        <w:rPr>
          <w:sz w:val="24"/>
        </w:rPr>
        <w:t>cosmétiques s’adressent</w:t>
      </w:r>
      <w:r>
        <w:rPr>
          <w:spacing w:val="-8"/>
          <w:sz w:val="24"/>
        </w:rPr>
        <w:t> </w:t>
      </w:r>
      <w:r>
        <w:rPr>
          <w:sz w:val="24"/>
        </w:rPr>
        <w:t>au</w:t>
      </w:r>
      <w:r>
        <w:rPr>
          <w:spacing w:val="-8"/>
          <w:sz w:val="24"/>
        </w:rPr>
        <w:t> </w:t>
      </w:r>
      <w:r>
        <w:rPr>
          <w:sz w:val="24"/>
        </w:rPr>
        <w:t>grand</w:t>
      </w:r>
      <w:r>
        <w:rPr>
          <w:spacing w:val="-8"/>
          <w:sz w:val="24"/>
        </w:rPr>
        <w:t> </w:t>
      </w:r>
      <w:r>
        <w:rPr>
          <w:sz w:val="24"/>
        </w:rPr>
        <w:t>public,</w:t>
      </w:r>
      <w:r>
        <w:rPr>
          <w:spacing w:val="-8"/>
          <w:sz w:val="24"/>
        </w:rPr>
        <w:t> </w:t>
      </w:r>
      <w:r>
        <w:rPr>
          <w:sz w:val="24"/>
        </w:rPr>
        <w:t>dont</w:t>
      </w:r>
      <w:r>
        <w:rPr>
          <w:spacing w:val="-8"/>
          <w:sz w:val="24"/>
        </w:rPr>
        <w:t> </w:t>
      </w:r>
      <w:r>
        <w:rPr>
          <w:sz w:val="24"/>
        </w:rPr>
        <w:t>le</w:t>
      </w:r>
      <w:r>
        <w:rPr>
          <w:spacing w:val="-9"/>
          <w:sz w:val="24"/>
        </w:rPr>
        <w:t> </w:t>
      </w:r>
      <w:r>
        <w:rPr>
          <w:sz w:val="24"/>
        </w:rPr>
        <w:t>niveau</w:t>
      </w:r>
      <w:r>
        <w:rPr>
          <w:spacing w:val="-8"/>
          <w:sz w:val="24"/>
        </w:rPr>
        <w:t> </w:t>
      </w:r>
      <w:r>
        <w:rPr>
          <w:sz w:val="24"/>
        </w:rPr>
        <w:t>d’attention</w:t>
      </w:r>
      <w:r>
        <w:rPr>
          <w:spacing w:val="-8"/>
          <w:sz w:val="24"/>
        </w:rPr>
        <w:t> </w:t>
      </w:r>
      <w:r>
        <w:rPr>
          <w:sz w:val="24"/>
        </w:rPr>
        <w:t>est</w:t>
      </w:r>
      <w:r>
        <w:rPr>
          <w:spacing w:val="-8"/>
          <w:sz w:val="24"/>
        </w:rPr>
        <w:t> </w:t>
      </w:r>
      <w:r>
        <w:rPr>
          <w:sz w:val="24"/>
        </w:rPr>
        <w:t>au</w:t>
      </w:r>
      <w:r>
        <w:rPr>
          <w:spacing w:val="-8"/>
          <w:sz w:val="24"/>
        </w:rPr>
        <w:t> </w:t>
      </w:r>
      <w:r>
        <w:rPr>
          <w:sz w:val="24"/>
        </w:rPr>
        <w:t>moins</w:t>
      </w:r>
      <w:r>
        <w:rPr>
          <w:spacing w:val="-8"/>
          <w:sz w:val="24"/>
        </w:rPr>
        <w:t> </w:t>
      </w:r>
      <w:r>
        <w:rPr>
          <w:sz w:val="24"/>
        </w:rPr>
        <w:t>moyen.</w:t>
      </w:r>
      <w:r>
        <w:rPr>
          <w:spacing w:val="-7"/>
          <w:sz w:val="24"/>
        </w:rPr>
        <w:t> </w:t>
      </w:r>
      <w:r>
        <w:rPr>
          <w:sz w:val="24"/>
        </w:rPr>
        <w:t>Même</w:t>
      </w:r>
      <w:r>
        <w:rPr>
          <w:spacing w:val="-9"/>
          <w:sz w:val="24"/>
        </w:rPr>
        <w:t> </w:t>
      </w:r>
      <w:r>
        <w:rPr>
          <w:sz w:val="24"/>
        </w:rPr>
        <w:t>si,</w:t>
      </w:r>
      <w:r>
        <w:rPr>
          <w:spacing w:val="-8"/>
          <w:sz w:val="24"/>
        </w:rPr>
        <w:t> </w:t>
      </w:r>
      <w:r>
        <w:rPr>
          <w:sz w:val="24"/>
        </w:rPr>
        <w:t>dans son arrêt «Caldea», le Tribunal a déclaré que les consommateurs ont tendance à être attentifs</w:t>
      </w:r>
      <w:r>
        <w:rPr>
          <w:spacing w:val="-8"/>
          <w:sz w:val="24"/>
        </w:rPr>
        <w:t> </w:t>
      </w:r>
      <w:r>
        <w:rPr>
          <w:sz w:val="24"/>
        </w:rPr>
        <w:t>lors</w:t>
      </w:r>
      <w:r>
        <w:rPr>
          <w:spacing w:val="-7"/>
          <w:sz w:val="24"/>
        </w:rPr>
        <w:t> </w:t>
      </w:r>
      <w:r>
        <w:rPr>
          <w:sz w:val="24"/>
        </w:rPr>
        <w:t>de</w:t>
      </w:r>
      <w:r>
        <w:rPr>
          <w:spacing w:val="-6"/>
          <w:sz w:val="24"/>
        </w:rPr>
        <w:t> </w:t>
      </w:r>
      <w:r>
        <w:rPr>
          <w:sz w:val="24"/>
        </w:rPr>
        <w:t>l’acquisition</w:t>
      </w:r>
      <w:r>
        <w:rPr>
          <w:spacing w:val="-7"/>
          <w:sz w:val="24"/>
        </w:rPr>
        <w:t> </w:t>
      </w:r>
      <w:r>
        <w:rPr>
          <w:sz w:val="24"/>
        </w:rPr>
        <w:t>de</w:t>
      </w:r>
      <w:r>
        <w:rPr>
          <w:spacing w:val="-8"/>
          <w:sz w:val="24"/>
        </w:rPr>
        <w:t> </w:t>
      </w:r>
      <w:r>
        <w:rPr>
          <w:sz w:val="24"/>
        </w:rPr>
        <w:t>produits</w:t>
      </w:r>
      <w:r>
        <w:rPr>
          <w:spacing w:val="-7"/>
          <w:sz w:val="24"/>
        </w:rPr>
        <w:t> </w:t>
      </w:r>
      <w:r>
        <w:rPr>
          <w:sz w:val="24"/>
        </w:rPr>
        <w:t>de</w:t>
      </w:r>
      <w:r>
        <w:rPr>
          <w:spacing w:val="-6"/>
          <w:sz w:val="24"/>
        </w:rPr>
        <w:t> </w:t>
      </w:r>
      <w:r>
        <w:rPr>
          <w:sz w:val="24"/>
        </w:rPr>
        <w:t>soin</w:t>
      </w:r>
      <w:r>
        <w:rPr>
          <w:spacing w:val="-7"/>
          <w:sz w:val="24"/>
        </w:rPr>
        <w:t> </w:t>
      </w:r>
      <w:r>
        <w:rPr>
          <w:sz w:val="24"/>
        </w:rPr>
        <w:t>pour</w:t>
      </w:r>
      <w:r>
        <w:rPr>
          <w:spacing w:val="-8"/>
          <w:sz w:val="24"/>
        </w:rPr>
        <w:t> </w:t>
      </w:r>
      <w:r>
        <w:rPr>
          <w:sz w:val="24"/>
        </w:rPr>
        <w:t>le</w:t>
      </w:r>
      <w:r>
        <w:rPr>
          <w:spacing w:val="-5"/>
          <w:sz w:val="24"/>
        </w:rPr>
        <w:t> </w:t>
      </w:r>
      <w:r>
        <w:rPr>
          <w:sz w:val="24"/>
        </w:rPr>
        <w:t>corps,</w:t>
      </w:r>
      <w:r>
        <w:rPr>
          <w:spacing w:val="-8"/>
          <w:sz w:val="24"/>
        </w:rPr>
        <w:t> </w:t>
      </w:r>
      <w:r>
        <w:rPr>
          <w:sz w:val="24"/>
        </w:rPr>
        <w:t>en</w:t>
      </w:r>
      <w:r>
        <w:rPr>
          <w:spacing w:val="-5"/>
          <w:sz w:val="24"/>
        </w:rPr>
        <w:t> </w:t>
      </w:r>
      <w:r>
        <w:rPr>
          <w:sz w:val="24"/>
        </w:rPr>
        <w:t>raison</w:t>
      </w:r>
      <w:r>
        <w:rPr>
          <w:spacing w:val="-7"/>
          <w:sz w:val="24"/>
        </w:rPr>
        <w:t> </w:t>
      </w:r>
      <w:r>
        <w:rPr>
          <w:sz w:val="24"/>
        </w:rPr>
        <w:t>de</w:t>
      </w:r>
      <w:r>
        <w:rPr>
          <w:spacing w:val="-6"/>
          <w:sz w:val="24"/>
        </w:rPr>
        <w:t> </w:t>
      </w:r>
      <w:r>
        <w:rPr>
          <w:sz w:val="24"/>
        </w:rPr>
        <w:t>considérations esthétiques</w:t>
      </w:r>
      <w:r>
        <w:rPr>
          <w:spacing w:val="-5"/>
          <w:sz w:val="24"/>
        </w:rPr>
        <w:t> </w:t>
      </w:r>
      <w:r>
        <w:rPr>
          <w:sz w:val="24"/>
        </w:rPr>
        <w:t>ou</w:t>
      </w:r>
      <w:r>
        <w:rPr>
          <w:spacing w:val="-5"/>
          <w:sz w:val="24"/>
        </w:rPr>
        <w:t> </w:t>
      </w:r>
      <w:r>
        <w:rPr>
          <w:sz w:val="24"/>
        </w:rPr>
        <w:t>de</w:t>
      </w:r>
      <w:r>
        <w:rPr>
          <w:spacing w:val="-6"/>
          <w:sz w:val="24"/>
        </w:rPr>
        <w:t> </w:t>
      </w:r>
      <w:r>
        <w:rPr>
          <w:sz w:val="24"/>
        </w:rPr>
        <w:t>préférences</w:t>
      </w:r>
      <w:r>
        <w:rPr>
          <w:spacing w:val="-5"/>
          <w:sz w:val="24"/>
        </w:rPr>
        <w:t> </w:t>
      </w:r>
      <w:r>
        <w:rPr>
          <w:sz w:val="24"/>
        </w:rPr>
        <w:t>personnelles,</w:t>
      </w:r>
      <w:r>
        <w:rPr>
          <w:spacing w:val="-5"/>
          <w:sz w:val="24"/>
        </w:rPr>
        <w:t> </w:t>
      </w:r>
      <w:r>
        <w:rPr>
          <w:sz w:val="24"/>
        </w:rPr>
        <w:t>de</w:t>
      </w:r>
      <w:r>
        <w:rPr>
          <w:spacing w:val="-6"/>
          <w:sz w:val="24"/>
        </w:rPr>
        <w:t> </w:t>
      </w:r>
      <w:r>
        <w:rPr>
          <w:sz w:val="24"/>
        </w:rPr>
        <w:t>la</w:t>
      </w:r>
      <w:r>
        <w:rPr>
          <w:spacing w:val="-5"/>
          <w:sz w:val="24"/>
        </w:rPr>
        <w:t> </w:t>
      </w:r>
      <w:r>
        <w:rPr>
          <w:sz w:val="24"/>
        </w:rPr>
        <w:t>sensibilité,</w:t>
      </w:r>
      <w:r>
        <w:rPr>
          <w:spacing w:val="-5"/>
          <w:sz w:val="24"/>
        </w:rPr>
        <w:t> </w:t>
      </w:r>
      <w:r>
        <w:rPr>
          <w:sz w:val="24"/>
        </w:rPr>
        <w:t>des</w:t>
      </w:r>
      <w:r>
        <w:rPr>
          <w:spacing w:val="-5"/>
          <w:sz w:val="24"/>
        </w:rPr>
        <w:t> </w:t>
      </w:r>
      <w:r>
        <w:rPr>
          <w:sz w:val="24"/>
        </w:rPr>
        <w:t>allergies,</w:t>
      </w:r>
      <w:r>
        <w:rPr>
          <w:spacing w:val="-5"/>
          <w:sz w:val="24"/>
        </w:rPr>
        <w:t> </w:t>
      </w:r>
      <w:r>
        <w:rPr>
          <w:sz w:val="24"/>
        </w:rPr>
        <w:t>du</w:t>
      </w:r>
      <w:r>
        <w:rPr>
          <w:spacing w:val="-5"/>
          <w:sz w:val="24"/>
        </w:rPr>
        <w:t> </w:t>
      </w:r>
      <w:r>
        <w:rPr>
          <w:sz w:val="24"/>
        </w:rPr>
        <w:t>type</w:t>
      </w:r>
      <w:r>
        <w:rPr>
          <w:spacing w:val="-6"/>
          <w:sz w:val="24"/>
        </w:rPr>
        <w:t> </w:t>
      </w:r>
      <w:r>
        <w:rPr>
          <w:sz w:val="24"/>
        </w:rPr>
        <w:t>de</w:t>
      </w:r>
      <w:r>
        <w:rPr>
          <w:spacing w:val="-6"/>
          <w:sz w:val="24"/>
        </w:rPr>
        <w:t> </w:t>
      </w:r>
      <w:r>
        <w:rPr>
          <w:sz w:val="24"/>
        </w:rPr>
        <w:t>peau et des cheveux, etc., ainsi que de l’effet attendu des produits, et qu’il est probable qu’un soin considérable sera apporté lors de l’acquisition des produits en cause (18/10/2011, T- 304/10, CALDEA, EU:T:2011:602, § 58), la majorité de la-jurisprudence du Tribunal établit que ces produits sont considérés comme des produits de consommation courante (08/07/2009,</w:t>
      </w:r>
      <w:r>
        <w:rPr>
          <w:spacing w:val="-15"/>
          <w:sz w:val="24"/>
        </w:rPr>
        <w:t> </w:t>
      </w:r>
      <w:r>
        <w:rPr>
          <w:sz w:val="24"/>
        </w:rPr>
        <w:t>240/08-,</w:t>
      </w:r>
      <w:r>
        <w:rPr>
          <w:spacing w:val="-15"/>
          <w:sz w:val="24"/>
        </w:rPr>
        <w:t> </w:t>
      </w:r>
      <w:r>
        <w:rPr>
          <w:sz w:val="24"/>
        </w:rPr>
        <w:t>EU:T:2009:258,</w:t>
      </w:r>
      <w:r>
        <w:rPr>
          <w:spacing w:val="-15"/>
          <w:sz w:val="24"/>
        </w:rPr>
        <w:t> </w:t>
      </w:r>
      <w:r>
        <w:rPr>
          <w:sz w:val="24"/>
        </w:rPr>
        <w:t>§</w:t>
      </w:r>
      <w:r>
        <w:rPr>
          <w:spacing w:val="-15"/>
          <w:sz w:val="24"/>
        </w:rPr>
        <w:t> </w:t>
      </w:r>
      <w:r>
        <w:rPr>
          <w:sz w:val="24"/>
        </w:rPr>
        <w:t>27);</w:t>
      </w:r>
      <w:r>
        <w:rPr>
          <w:spacing w:val="-15"/>
          <w:sz w:val="24"/>
        </w:rPr>
        <w:t> </w:t>
      </w:r>
      <w:r>
        <w:rPr>
          <w:sz w:val="24"/>
        </w:rPr>
        <w:t>11/11/2009,</w:t>
      </w:r>
      <w:r>
        <w:rPr>
          <w:spacing w:val="-15"/>
          <w:sz w:val="24"/>
        </w:rPr>
        <w:t> </w:t>
      </w:r>
      <w:r>
        <w:rPr>
          <w:sz w:val="24"/>
        </w:rPr>
        <w:t>150/08-,</w:t>
      </w:r>
      <w:r>
        <w:rPr>
          <w:spacing w:val="-15"/>
          <w:sz w:val="24"/>
        </w:rPr>
        <w:t> </w:t>
      </w:r>
      <w:r>
        <w:rPr>
          <w:sz w:val="24"/>
        </w:rPr>
        <w:t>Clina,</w:t>
      </w:r>
      <w:r>
        <w:rPr>
          <w:spacing w:val="-15"/>
          <w:sz w:val="24"/>
        </w:rPr>
        <w:t> </w:t>
      </w:r>
      <w:r>
        <w:rPr>
          <w:sz w:val="24"/>
        </w:rPr>
        <w:t>EU:T:2009:431,</w:t>
      </w:r>
    </w:p>
    <w:p>
      <w:pPr>
        <w:pStyle w:val="BodyText"/>
        <w:ind w:left="590" w:right="159"/>
        <w:jc w:val="both"/>
      </w:pPr>
      <w:r>
        <w:rPr/>
        <w:t>§ 69; 13/09/2010, 366/07-, P indirects G Prestige beauté, EU:T:2010:394, § 51; 02/02/2011, T-437/09, Oyster cosmetics, EU:T:2011:23, § 23; 14/04/2011, T-466/08, Acno</w:t>
      </w:r>
      <w:r>
        <w:rPr>
          <w:spacing w:val="-12"/>
        </w:rPr>
        <w:t> </w:t>
      </w:r>
      <w:r>
        <w:rPr/>
        <w:t>focus,</w:t>
      </w:r>
      <w:r>
        <w:rPr>
          <w:spacing w:val="-11"/>
        </w:rPr>
        <w:t> </w:t>
      </w:r>
      <w:r>
        <w:rPr/>
        <w:t>EU:T:2011:182,</w:t>
      </w:r>
      <w:r>
        <w:rPr>
          <w:spacing w:val="-12"/>
        </w:rPr>
        <w:t> </w:t>
      </w:r>
      <w:r>
        <w:rPr/>
        <w:t>§</w:t>
      </w:r>
      <w:r>
        <w:rPr>
          <w:spacing w:val="-12"/>
        </w:rPr>
        <w:t> </w:t>
      </w:r>
      <w:r>
        <w:rPr/>
        <w:t>49;</w:t>
      </w:r>
      <w:r>
        <w:rPr>
          <w:spacing w:val="-11"/>
        </w:rPr>
        <w:t> </w:t>
      </w:r>
      <w:r>
        <w:rPr/>
        <w:t>21/02/2013,</w:t>
      </w:r>
      <w:r>
        <w:rPr>
          <w:spacing w:val="-12"/>
        </w:rPr>
        <w:t> </w:t>
      </w:r>
      <w:r>
        <w:rPr/>
        <w:t>T-427/11,</w:t>
      </w:r>
      <w:r>
        <w:rPr>
          <w:spacing w:val="-11"/>
        </w:rPr>
        <w:t> </w:t>
      </w:r>
      <w:r>
        <w:rPr/>
        <w:t>Bioderma,</w:t>
      </w:r>
      <w:r>
        <w:rPr>
          <w:spacing w:val="-12"/>
        </w:rPr>
        <w:t> </w:t>
      </w:r>
      <w:r>
        <w:rPr/>
        <w:t>EU:T:2013:92,</w:t>
      </w:r>
      <w:r>
        <w:rPr>
          <w:spacing w:val="-11"/>
        </w:rPr>
        <w:t> </w:t>
      </w:r>
      <w:r>
        <w:rPr/>
        <w:t>§</w:t>
      </w:r>
      <w:r>
        <w:rPr>
          <w:spacing w:val="-12"/>
        </w:rPr>
        <w:t> </w:t>
      </w:r>
      <w:r>
        <w:rPr/>
        <w:t>38; 13/05/2016,</w:t>
      </w:r>
      <w:r>
        <w:rPr>
          <w:spacing w:val="-2"/>
        </w:rPr>
        <w:t> </w:t>
      </w:r>
      <w:r>
        <w:rPr/>
        <w:t>T-62/15,</w:t>
      </w:r>
      <w:r>
        <w:rPr>
          <w:spacing w:val="-2"/>
        </w:rPr>
        <w:t> </w:t>
      </w:r>
      <w:r>
        <w:rPr/>
        <w:t>MITOCHRON/mito</w:t>
      </w:r>
      <w:r>
        <w:rPr>
          <w:spacing w:val="-2"/>
        </w:rPr>
        <w:t> </w:t>
      </w:r>
      <w:r>
        <w:rPr/>
        <w:t>(fig.)</w:t>
      </w:r>
      <w:r>
        <w:rPr>
          <w:spacing w:val="-3"/>
        </w:rPr>
        <w:t> </w:t>
      </w:r>
      <w:r>
        <w:rPr/>
        <w:t>et al.,</w:t>
      </w:r>
      <w:r>
        <w:rPr>
          <w:spacing w:val="-2"/>
        </w:rPr>
        <w:t> </w:t>
      </w:r>
      <w:r>
        <w:rPr/>
        <w:t>EU:T:2016:304,</w:t>
      </w:r>
      <w:r>
        <w:rPr>
          <w:spacing w:val="-2"/>
        </w:rPr>
        <w:t> </w:t>
      </w:r>
      <w:r>
        <w:rPr/>
        <w:t>§</w:t>
      </w:r>
      <w:r>
        <w:rPr>
          <w:spacing w:val="-2"/>
        </w:rPr>
        <w:t> </w:t>
      </w:r>
      <w:r>
        <w:rPr/>
        <w:t>22;</w:t>
      </w:r>
      <w:r>
        <w:rPr>
          <w:spacing w:val="-2"/>
        </w:rPr>
        <w:t> </w:t>
      </w:r>
      <w:r>
        <w:rPr/>
        <w:t>07/03/2019, T-106/18,</w:t>
      </w:r>
      <w:r>
        <w:rPr>
          <w:spacing w:val="-6"/>
        </w:rPr>
        <w:t> </w:t>
      </w:r>
      <w:r>
        <w:rPr/>
        <w:t>VERA</w:t>
      </w:r>
      <w:r>
        <w:rPr>
          <w:spacing w:val="-4"/>
        </w:rPr>
        <w:t> </w:t>
      </w:r>
      <w:r>
        <w:rPr/>
        <w:t>GREEN/Lavera</w:t>
      </w:r>
      <w:r>
        <w:rPr>
          <w:spacing w:val="-4"/>
        </w:rPr>
        <w:t> </w:t>
      </w:r>
      <w:r>
        <w:rPr/>
        <w:t>et</w:t>
      </w:r>
      <w:r>
        <w:rPr>
          <w:spacing w:val="-3"/>
        </w:rPr>
        <w:t> </w:t>
      </w:r>
      <w:r>
        <w:rPr/>
        <w:t>al,</w:t>
      </w:r>
      <w:r>
        <w:rPr>
          <w:spacing w:val="-4"/>
        </w:rPr>
        <w:t> </w:t>
      </w:r>
      <w:r>
        <w:rPr/>
        <w:t>EU:T:2019:143,</w:t>
      </w:r>
      <w:r>
        <w:rPr>
          <w:spacing w:val="-3"/>
        </w:rPr>
        <w:t> </w:t>
      </w:r>
      <w:r>
        <w:rPr/>
        <w:t>§</w:t>
      </w:r>
      <w:r>
        <w:rPr>
          <w:spacing w:val="-4"/>
        </w:rPr>
        <w:t> </w:t>
      </w:r>
      <w:r>
        <w:rPr/>
        <w:t>26;</w:t>
      </w:r>
      <w:r>
        <w:rPr>
          <w:spacing w:val="-3"/>
        </w:rPr>
        <w:t> </w:t>
      </w:r>
      <w:r>
        <w:rPr/>
        <w:t>30/06/2021,</w:t>
      </w:r>
      <w:r>
        <w:rPr>
          <w:spacing w:val="-5"/>
        </w:rPr>
        <w:t> </w:t>
      </w:r>
      <w:r>
        <w:rPr/>
        <w:t>501/20-,</w:t>
      </w:r>
      <w:r>
        <w:rPr>
          <w:spacing w:val="-4"/>
        </w:rPr>
        <w:t> </w:t>
      </w:r>
      <w:r>
        <w:rPr>
          <w:spacing w:val="-2"/>
        </w:rPr>
        <w:t>Panta</w:t>
      </w:r>
    </w:p>
    <w:p>
      <w:pPr>
        <w:pStyle w:val="BodyText"/>
        <w:spacing w:before="1"/>
        <w:ind w:left="590" w:right="161"/>
        <w:jc w:val="both"/>
      </w:pPr>
      <w:r>
        <w:rPr/>
        <w:t>Rhei/Panta Rhei, EU:T:2021:402, § 23; 15/09/2021, T-852/19, ALBÉA (fig.)/Balea, EU:T:2021:569,</w:t>
      </w:r>
      <w:r>
        <w:rPr>
          <w:spacing w:val="-6"/>
        </w:rPr>
        <w:t> </w:t>
      </w:r>
      <w:r>
        <w:rPr/>
        <w:t>§</w:t>
      </w:r>
      <w:r>
        <w:rPr>
          <w:spacing w:val="-7"/>
        </w:rPr>
        <w:t> </w:t>
      </w:r>
      <w:r>
        <w:rPr/>
        <w:t>35;</w:t>
      </w:r>
      <w:r>
        <w:rPr>
          <w:spacing w:val="-6"/>
        </w:rPr>
        <w:t> </w:t>
      </w:r>
      <w:r>
        <w:rPr/>
        <w:t>02/03/2022,</w:t>
      </w:r>
      <w:r>
        <w:rPr>
          <w:spacing w:val="-7"/>
        </w:rPr>
        <w:t> </w:t>
      </w:r>
      <w:r>
        <w:rPr/>
        <w:t>T-715/20,</w:t>
      </w:r>
      <w:r>
        <w:rPr>
          <w:spacing w:val="-6"/>
        </w:rPr>
        <w:t> </w:t>
      </w:r>
      <w:r>
        <w:rPr/>
        <w:t>Skinovea/Skinoren</w:t>
      </w:r>
      <w:r>
        <w:rPr>
          <w:spacing w:val="-7"/>
        </w:rPr>
        <w:t> </w:t>
      </w:r>
      <w:r>
        <w:rPr/>
        <w:t>et</w:t>
      </w:r>
      <w:r>
        <w:rPr>
          <w:spacing w:val="-4"/>
        </w:rPr>
        <w:t> </w:t>
      </w:r>
      <w:r>
        <w:rPr/>
        <w:t>al.,</w:t>
      </w:r>
      <w:r>
        <w:rPr>
          <w:spacing w:val="-7"/>
        </w:rPr>
        <w:t> </w:t>
      </w:r>
      <w:r>
        <w:rPr/>
        <w:t>EU:T:2022:101,</w:t>
      </w:r>
      <w:r>
        <w:rPr>
          <w:spacing w:val="-7"/>
        </w:rPr>
        <w:t> </w:t>
      </w:r>
      <w:r>
        <w:rPr/>
        <w:t>§ 22, et la-jurisprudence citée).</w:t>
      </w:r>
    </w:p>
    <w:p>
      <w:pPr>
        <w:pStyle w:val="BodyText"/>
        <w:rPr>
          <w:sz w:val="18"/>
        </w:rPr>
      </w:pPr>
    </w:p>
    <w:p>
      <w:pPr>
        <w:pStyle w:val="BodyText"/>
        <w:rPr>
          <w:sz w:val="18"/>
        </w:rPr>
      </w:pPr>
    </w:p>
    <w:p>
      <w:pPr>
        <w:pStyle w:val="BodyText"/>
        <w:spacing w:before="28"/>
        <w:rPr>
          <w:sz w:val="18"/>
        </w:rPr>
      </w:pPr>
    </w:p>
    <w:p>
      <w:pPr>
        <w:spacing w:before="0"/>
        <w:ind w:left="2737" w:right="2738" w:firstLine="0"/>
        <w:jc w:val="center"/>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p>
      <w:pPr>
        <w:spacing w:after="0"/>
        <w:jc w:val="center"/>
        <w:rPr>
          <w:sz w:val="18"/>
        </w:rPr>
        <w:sectPr>
          <w:pgSz w:w="11910" w:h="16840"/>
          <w:pgMar w:header="970" w:footer="0" w:top="1180" w:bottom="280" w:left="1275" w:right="1275"/>
        </w:sectPr>
      </w:pPr>
    </w:p>
    <w:p>
      <w:pPr>
        <w:pStyle w:val="ListParagraph"/>
        <w:numPr>
          <w:ilvl w:val="0"/>
          <w:numId w:val="1"/>
        </w:numPr>
        <w:tabs>
          <w:tab w:pos="590" w:val="left" w:leader="none"/>
        </w:tabs>
        <w:spacing w:line="240" w:lineRule="auto" w:before="249" w:after="0"/>
        <w:ind w:left="590" w:right="160" w:hanging="425"/>
        <w:jc w:val="both"/>
        <w:rPr>
          <w:sz w:val="24"/>
        </w:rPr>
      </w:pPr>
      <w:r>
        <w:rPr>
          <w:sz w:val="24"/>
        </w:rPr>
        <mc:AlternateContent>
          <mc:Choice Requires="wps">
            <w:drawing>
              <wp:anchor distT="0" distB="0" distL="0" distR="0" allowOverlap="1" layoutInCell="1" locked="0" behindDoc="0" simplePos="0" relativeHeight="15744512">
                <wp:simplePos x="0" y="0"/>
                <wp:positionH relativeFrom="page">
                  <wp:posOffset>270575</wp:posOffset>
                </wp:positionH>
                <wp:positionV relativeFrom="page">
                  <wp:posOffset>1114363</wp:posOffset>
                </wp:positionV>
                <wp:extent cx="146050" cy="921004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146050" cy="9210040"/>
                        </a:xfrm>
                        <a:prstGeom prst="rect">
                          <a:avLst/>
                        </a:prstGeom>
                      </wps:spPr>
                      <wps:txbx>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wps:txbx>
                      <wps:bodyPr wrap="square" lIns="0" tIns="0" rIns="0" bIns="0" rtlCol="0" vert="vert270">
                        <a:noAutofit/>
                      </wps:bodyPr>
                    </wps:wsp>
                  </a:graphicData>
                </a:graphic>
              </wp:anchor>
            </w:drawing>
          </mc:Choice>
          <mc:Fallback>
            <w:pict>
              <v:shape style="position:absolute;margin-left:21.305176pt;margin-top:87.745193pt;width:11.5pt;height:725.2pt;mso-position-horizontal-relative:page;mso-position-vertical-relative:page;z-index:15744512" type="#_x0000_t202" id="docshape24" filled="false" stroked="false">
                <v:textbox inset="0,0,0,0" style="layout-flow:vertical;mso-layout-flow-alt:bottom-to-top">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v:textbox>
                <w10:wrap type="none"/>
              </v:shape>
            </w:pict>
          </mc:Fallback>
        </mc:AlternateContent>
      </w:r>
      <w:r>
        <w:rPr>
          <w:sz w:val="24"/>
        </w:rPr>
        <w:t>Par conséquent, il semble approprié de suivre la majorité de la jurisprudence en ce qui concerne les produits compris dans la classe 3 et de considérer que le niveau d’attention du grand public pertinent est au moins moyen &amp;bra;-13/09/2023, 328/22, EST. KORRES-1996 HYDRA biome (fig.)/Hydrabio et al., EU:T:2023:533, §-42 &amp;ket;.</w:t>
      </w:r>
    </w:p>
    <w:p>
      <w:pPr>
        <w:pStyle w:val="ListParagraph"/>
        <w:numPr>
          <w:ilvl w:val="0"/>
          <w:numId w:val="1"/>
        </w:numPr>
        <w:tabs>
          <w:tab w:pos="590" w:val="left" w:leader="none"/>
        </w:tabs>
        <w:spacing w:line="240" w:lineRule="auto" w:before="240" w:after="0"/>
        <w:ind w:left="590" w:right="168" w:hanging="425"/>
        <w:jc w:val="both"/>
        <w:rPr>
          <w:sz w:val="24"/>
        </w:rPr>
      </w:pPr>
      <w:r>
        <w:rPr>
          <w:sz w:val="24"/>
        </w:rPr>
        <w:t>Les</w:t>
      </w:r>
      <w:r>
        <w:rPr>
          <w:spacing w:val="-15"/>
          <w:sz w:val="24"/>
        </w:rPr>
        <w:t> </w:t>
      </w:r>
      <w:r>
        <w:rPr>
          <w:sz w:val="24"/>
        </w:rPr>
        <w:t>marques</w:t>
      </w:r>
      <w:r>
        <w:rPr>
          <w:spacing w:val="-15"/>
          <w:sz w:val="24"/>
        </w:rPr>
        <w:t> </w:t>
      </w:r>
      <w:r>
        <w:rPr>
          <w:sz w:val="24"/>
        </w:rPr>
        <w:t>antérieures</w:t>
      </w:r>
      <w:r>
        <w:rPr>
          <w:spacing w:val="-15"/>
          <w:sz w:val="24"/>
        </w:rPr>
        <w:t> </w:t>
      </w:r>
      <w:r>
        <w:rPr>
          <w:sz w:val="24"/>
        </w:rPr>
        <w:t>sont</w:t>
      </w:r>
      <w:r>
        <w:rPr>
          <w:spacing w:val="-15"/>
          <w:sz w:val="24"/>
        </w:rPr>
        <w:t> </w:t>
      </w:r>
      <w:r>
        <w:rPr>
          <w:sz w:val="24"/>
        </w:rPr>
        <w:t>deux</w:t>
      </w:r>
      <w:r>
        <w:rPr>
          <w:spacing w:val="-15"/>
          <w:sz w:val="24"/>
        </w:rPr>
        <w:t> </w:t>
      </w:r>
      <w:r>
        <w:rPr>
          <w:sz w:val="24"/>
        </w:rPr>
        <w:t>enregistrements</w:t>
      </w:r>
      <w:r>
        <w:rPr>
          <w:spacing w:val="-15"/>
          <w:sz w:val="24"/>
        </w:rPr>
        <w:t> </w:t>
      </w:r>
      <w:r>
        <w:rPr>
          <w:sz w:val="24"/>
        </w:rPr>
        <w:t>français.</w:t>
      </w:r>
      <w:r>
        <w:rPr>
          <w:spacing w:val="-15"/>
          <w:sz w:val="24"/>
        </w:rPr>
        <w:t> </w:t>
      </w:r>
      <w:r>
        <w:rPr>
          <w:sz w:val="24"/>
        </w:rPr>
        <w:t>Dès</w:t>
      </w:r>
      <w:r>
        <w:rPr>
          <w:spacing w:val="-15"/>
          <w:sz w:val="24"/>
        </w:rPr>
        <w:t> </w:t>
      </w:r>
      <w:r>
        <w:rPr>
          <w:sz w:val="24"/>
        </w:rPr>
        <w:t>lors,</w:t>
      </w:r>
      <w:r>
        <w:rPr>
          <w:spacing w:val="-15"/>
          <w:sz w:val="24"/>
        </w:rPr>
        <w:t> </w:t>
      </w:r>
      <w:r>
        <w:rPr>
          <w:sz w:val="24"/>
        </w:rPr>
        <w:t>le</w:t>
      </w:r>
      <w:r>
        <w:rPr>
          <w:spacing w:val="-15"/>
          <w:sz w:val="24"/>
        </w:rPr>
        <w:t> </w:t>
      </w:r>
      <w:r>
        <w:rPr>
          <w:sz w:val="24"/>
        </w:rPr>
        <w:t>territoire</w:t>
      </w:r>
      <w:r>
        <w:rPr>
          <w:spacing w:val="-15"/>
          <w:sz w:val="24"/>
        </w:rPr>
        <w:t> </w:t>
      </w:r>
      <w:r>
        <w:rPr>
          <w:sz w:val="24"/>
        </w:rPr>
        <w:t>pertinent est la France.</w:t>
      </w:r>
    </w:p>
    <w:p>
      <w:pPr>
        <w:pStyle w:val="ListParagraph"/>
        <w:numPr>
          <w:ilvl w:val="0"/>
          <w:numId w:val="1"/>
        </w:numPr>
        <w:tabs>
          <w:tab w:pos="590" w:val="left" w:leader="none"/>
        </w:tabs>
        <w:spacing w:line="240" w:lineRule="auto" w:before="240" w:after="0"/>
        <w:ind w:left="590" w:right="161" w:hanging="425"/>
        <w:jc w:val="both"/>
        <w:rPr>
          <w:sz w:val="24"/>
        </w:rPr>
      </w:pPr>
      <w:r>
        <w:rPr>
          <w:color w:val="000000"/>
          <w:sz w:val="24"/>
          <w:shd w:fill="FEBF99" w:color="auto" w:val="clear"/>
        </w:rPr>
        <w:t>La chambre de recours estime qu’il convient d’examiner en premier lieu l’opposition sur</w:t>
      </w:r>
      <w:r>
        <w:rPr>
          <w:color w:val="000000"/>
          <w:sz w:val="24"/>
        </w:rPr>
        <w:t> </w:t>
      </w:r>
      <w:r>
        <w:rPr>
          <w:color w:val="000000"/>
          <w:sz w:val="24"/>
          <w:shd w:fill="FEBF99" w:color="auto" w:val="clear"/>
        </w:rPr>
        <w:t>la</w:t>
      </w:r>
      <w:r>
        <w:rPr>
          <w:color w:val="000000"/>
          <w:spacing w:val="-2"/>
          <w:sz w:val="24"/>
          <w:shd w:fill="FEBF99" w:color="auto" w:val="clear"/>
        </w:rPr>
        <w:t> </w:t>
      </w:r>
      <w:r>
        <w:rPr>
          <w:color w:val="000000"/>
          <w:sz w:val="24"/>
          <w:shd w:fill="FEBF99" w:color="auto" w:val="clear"/>
        </w:rPr>
        <w:t>base</w:t>
      </w:r>
      <w:r>
        <w:rPr>
          <w:color w:val="000000"/>
          <w:spacing w:val="-3"/>
          <w:sz w:val="24"/>
          <w:shd w:fill="FEBF99" w:color="auto" w:val="clear"/>
        </w:rPr>
        <w:t> </w:t>
      </w:r>
      <w:r>
        <w:rPr>
          <w:color w:val="000000"/>
          <w:sz w:val="24"/>
          <w:shd w:fill="FEBF99" w:color="auto" w:val="clear"/>
        </w:rPr>
        <w:t>de</w:t>
      </w:r>
      <w:r>
        <w:rPr>
          <w:color w:val="000000"/>
          <w:spacing w:val="-3"/>
          <w:sz w:val="24"/>
          <w:shd w:fill="FEBF99" w:color="auto" w:val="clear"/>
        </w:rPr>
        <w:t> </w:t>
      </w:r>
      <w:r>
        <w:rPr>
          <w:color w:val="000000"/>
          <w:sz w:val="24"/>
          <w:shd w:fill="FEBF99" w:color="auto" w:val="clear"/>
        </w:rPr>
        <w:t>la</w:t>
      </w:r>
      <w:r>
        <w:rPr>
          <w:color w:val="000000"/>
          <w:spacing w:val="-2"/>
          <w:sz w:val="24"/>
          <w:shd w:fill="FEBF99" w:color="auto" w:val="clear"/>
        </w:rPr>
        <w:t> </w:t>
      </w:r>
      <w:r>
        <w:rPr>
          <w:color w:val="000000"/>
          <w:sz w:val="24"/>
          <w:shd w:fill="FEBF99" w:color="auto" w:val="clear"/>
        </w:rPr>
        <w:t>marque</w:t>
      </w:r>
      <w:r>
        <w:rPr>
          <w:color w:val="000000"/>
          <w:spacing w:val="-3"/>
          <w:sz w:val="24"/>
          <w:shd w:fill="FEBF99" w:color="auto" w:val="clear"/>
        </w:rPr>
        <w:t> </w:t>
      </w:r>
      <w:r>
        <w:rPr>
          <w:color w:val="000000"/>
          <w:sz w:val="24"/>
          <w:shd w:fill="FEBF99" w:color="auto" w:val="clear"/>
        </w:rPr>
        <w:t>antérieure</w:t>
      </w:r>
      <w:r>
        <w:rPr>
          <w:color w:val="000000"/>
          <w:spacing w:val="-4"/>
          <w:sz w:val="24"/>
          <w:shd w:fill="FEBF99" w:color="auto" w:val="clear"/>
        </w:rPr>
        <w:t> </w:t>
      </w:r>
      <w:r>
        <w:rPr>
          <w:color w:val="000000"/>
          <w:sz w:val="24"/>
          <w:shd w:fill="FEBF99" w:color="auto" w:val="clear"/>
        </w:rPr>
        <w:t>no</w:t>
      </w:r>
      <w:r>
        <w:rPr>
          <w:color w:val="000000"/>
          <w:spacing w:val="-2"/>
          <w:sz w:val="24"/>
          <w:shd w:fill="FEBF99" w:color="auto" w:val="clear"/>
        </w:rPr>
        <w:t> </w:t>
      </w:r>
      <w:r>
        <w:rPr>
          <w:color w:val="000000"/>
          <w:sz w:val="24"/>
          <w:shd w:fill="FEBF99" w:color="auto" w:val="clear"/>
        </w:rPr>
        <w:t>2 «No</w:t>
      </w:r>
      <w:r>
        <w:rPr>
          <w:color w:val="000000"/>
          <w:spacing w:val="-2"/>
          <w:sz w:val="24"/>
          <w:shd w:fill="FEBF99" w:color="auto" w:val="clear"/>
        </w:rPr>
        <w:t> </w:t>
      </w:r>
      <w:r>
        <w:rPr>
          <w:color w:val="000000"/>
          <w:sz w:val="24"/>
          <w:shd w:fill="FEBF99" w:color="auto" w:val="clear"/>
        </w:rPr>
        <w:t>5»</w:t>
      </w:r>
      <w:r>
        <w:rPr>
          <w:color w:val="000000"/>
          <w:spacing w:val="-8"/>
          <w:sz w:val="24"/>
          <w:shd w:fill="FEBF99" w:color="auto" w:val="clear"/>
        </w:rPr>
        <w:t> </w:t>
      </w:r>
      <w:r>
        <w:rPr>
          <w:color w:val="000000"/>
          <w:sz w:val="24"/>
          <w:shd w:fill="FEBF99" w:color="auto" w:val="clear"/>
        </w:rPr>
        <w:t>(qui</w:t>
      </w:r>
      <w:r>
        <w:rPr>
          <w:color w:val="000000"/>
          <w:spacing w:val="-2"/>
          <w:sz w:val="24"/>
          <w:shd w:fill="FEBF99" w:color="auto" w:val="clear"/>
        </w:rPr>
        <w:t> </w:t>
      </w:r>
      <w:r>
        <w:rPr>
          <w:color w:val="000000"/>
          <w:sz w:val="24"/>
          <w:shd w:fill="FEBF99" w:color="auto" w:val="clear"/>
        </w:rPr>
        <w:t>jouit</w:t>
      </w:r>
      <w:r>
        <w:rPr>
          <w:color w:val="000000"/>
          <w:spacing w:val="-2"/>
          <w:sz w:val="24"/>
          <w:shd w:fill="FEBF99" w:color="auto" w:val="clear"/>
        </w:rPr>
        <w:t> </w:t>
      </w:r>
      <w:r>
        <w:rPr>
          <w:color w:val="000000"/>
          <w:sz w:val="24"/>
          <w:shd w:fill="FEBF99" w:color="auto" w:val="clear"/>
        </w:rPr>
        <w:t>d’un</w:t>
      </w:r>
      <w:r>
        <w:rPr>
          <w:color w:val="000000"/>
          <w:spacing w:val="-3"/>
          <w:sz w:val="24"/>
          <w:shd w:fill="FEBF99" w:color="auto" w:val="clear"/>
        </w:rPr>
        <w:t> </w:t>
      </w:r>
      <w:r>
        <w:rPr>
          <w:color w:val="000000"/>
          <w:sz w:val="24"/>
          <w:shd w:fill="FEBF99" w:color="auto" w:val="clear"/>
        </w:rPr>
        <w:t>caractère</w:t>
      </w:r>
      <w:r>
        <w:rPr>
          <w:color w:val="000000"/>
          <w:spacing w:val="-4"/>
          <w:sz w:val="24"/>
          <w:shd w:fill="FEBF99" w:color="auto" w:val="clear"/>
        </w:rPr>
        <w:t> </w:t>
      </w:r>
      <w:r>
        <w:rPr>
          <w:color w:val="000000"/>
          <w:sz w:val="24"/>
          <w:shd w:fill="FEBF99" w:color="auto" w:val="clear"/>
        </w:rPr>
        <w:t>distinctif</w:t>
      </w:r>
      <w:r>
        <w:rPr>
          <w:color w:val="000000"/>
          <w:spacing w:val="-2"/>
          <w:sz w:val="24"/>
          <w:shd w:fill="FEBF99" w:color="auto" w:val="clear"/>
        </w:rPr>
        <w:t> </w:t>
      </w:r>
      <w:r>
        <w:rPr>
          <w:color w:val="000000"/>
          <w:sz w:val="24"/>
          <w:shd w:fill="FEBF99" w:color="auto" w:val="clear"/>
        </w:rPr>
        <w:t>accru</w:t>
      </w:r>
      <w:r>
        <w:rPr>
          <w:color w:val="000000"/>
          <w:spacing w:val="-2"/>
          <w:sz w:val="24"/>
          <w:shd w:fill="FEBF99" w:color="auto" w:val="clear"/>
        </w:rPr>
        <w:t> </w:t>
      </w:r>
      <w:r>
        <w:rPr>
          <w:color w:val="000000"/>
          <w:sz w:val="24"/>
          <w:shd w:fill="FEBF99" w:color="auto" w:val="clear"/>
        </w:rPr>
        <w:t>pour</w:t>
      </w:r>
      <w:r>
        <w:rPr>
          <w:color w:val="000000"/>
          <w:sz w:val="24"/>
        </w:rPr>
        <w:t> </w:t>
      </w:r>
      <w:r>
        <w:rPr>
          <w:color w:val="000000"/>
          <w:sz w:val="24"/>
          <w:shd w:fill="FEBF99" w:color="auto" w:val="clear"/>
        </w:rPr>
        <w:t>les </w:t>
      </w:r>
      <w:r>
        <w:rPr>
          <w:i/>
          <w:color w:val="000000"/>
          <w:sz w:val="24"/>
          <w:shd w:fill="FEBF99" w:color="auto" w:val="clear"/>
        </w:rPr>
        <w:t>produits de parfumerie </w:t>
      </w:r>
      <w:r>
        <w:rPr>
          <w:color w:val="000000"/>
          <w:sz w:val="24"/>
          <w:shd w:fill="FEBF99" w:color="auto" w:val="clear"/>
        </w:rPr>
        <w:t>compris dans la classe 3, comme il sera</w:t>
      </w:r>
      <w:r>
        <w:rPr>
          <w:color w:val="000000"/>
          <w:spacing w:val="-1"/>
          <w:sz w:val="24"/>
          <w:shd w:fill="FEBF99" w:color="auto" w:val="clear"/>
        </w:rPr>
        <w:t> </w:t>
      </w:r>
      <w:r>
        <w:rPr>
          <w:color w:val="000000"/>
          <w:sz w:val="24"/>
          <w:shd w:fill="FEBF99" w:color="auto" w:val="clear"/>
        </w:rPr>
        <w:t>démontré ci-dessous).</w:t>
      </w:r>
    </w:p>
    <w:p>
      <w:pPr>
        <w:pStyle w:val="BodyText"/>
        <w:spacing w:before="84"/>
      </w:pPr>
    </w:p>
    <w:p>
      <w:pPr>
        <w:spacing w:before="0"/>
        <w:ind w:left="590" w:right="0" w:firstLine="0"/>
        <w:jc w:val="left"/>
        <w:rPr>
          <w:i/>
          <w:sz w:val="24"/>
        </w:rPr>
      </w:pPr>
      <w:r>
        <w:rPr>
          <w:i/>
          <w:sz w:val="24"/>
        </w:rPr>
        <w:t>Comparaison des </w:t>
      </w:r>
      <w:r>
        <w:rPr>
          <w:i/>
          <w:spacing w:val="-2"/>
          <w:sz w:val="24"/>
        </w:rPr>
        <w:t>produits</w:t>
      </w:r>
    </w:p>
    <w:p>
      <w:pPr>
        <w:pStyle w:val="ListParagraph"/>
        <w:numPr>
          <w:ilvl w:val="0"/>
          <w:numId w:val="1"/>
        </w:numPr>
        <w:tabs>
          <w:tab w:pos="589" w:val="left" w:leader="none"/>
        </w:tabs>
        <w:spacing w:line="240" w:lineRule="auto" w:before="241" w:after="0"/>
        <w:ind w:left="589" w:right="0" w:hanging="424"/>
        <w:jc w:val="left"/>
        <w:rPr>
          <w:sz w:val="24"/>
        </w:rPr>
      </w:pPr>
      <w:r>
        <w:rPr>
          <w:sz w:val="24"/>
        </w:rPr>
        <w:t>Les</w:t>
      </w:r>
      <w:r>
        <w:rPr>
          <w:spacing w:val="-1"/>
          <w:sz w:val="24"/>
        </w:rPr>
        <w:t> </w:t>
      </w:r>
      <w:r>
        <w:rPr>
          <w:sz w:val="24"/>
        </w:rPr>
        <w:t>produits</w:t>
      </w:r>
      <w:r>
        <w:rPr>
          <w:spacing w:val="-1"/>
          <w:sz w:val="24"/>
        </w:rPr>
        <w:t> </w:t>
      </w:r>
      <w:r>
        <w:rPr>
          <w:sz w:val="24"/>
        </w:rPr>
        <w:t>à</w:t>
      </w:r>
      <w:r>
        <w:rPr>
          <w:spacing w:val="-1"/>
          <w:sz w:val="24"/>
        </w:rPr>
        <w:t> </w:t>
      </w:r>
      <w:r>
        <w:rPr>
          <w:sz w:val="24"/>
        </w:rPr>
        <w:t>comparer sont</w:t>
      </w:r>
      <w:r>
        <w:rPr>
          <w:spacing w:val="-1"/>
          <w:sz w:val="24"/>
        </w:rPr>
        <w:t> </w:t>
      </w:r>
      <w:r>
        <w:rPr>
          <w:sz w:val="24"/>
        </w:rPr>
        <w:t>les </w:t>
      </w:r>
      <w:r>
        <w:rPr>
          <w:spacing w:val="-2"/>
          <w:sz w:val="24"/>
        </w:rPr>
        <w:t>suivants:</w:t>
      </w:r>
    </w:p>
    <w:p>
      <w:pPr>
        <w:pStyle w:val="BodyText"/>
        <w:spacing w:before="11"/>
        <w:rPr>
          <w:sz w:val="20"/>
        </w:rPr>
      </w:pPr>
    </w:p>
    <w:tbl>
      <w:tblPr>
        <w:tblW w:w="0" w:type="auto"/>
        <w:jc w:val="left"/>
        <w:tblInd w:w="6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69"/>
        <w:gridCol w:w="6323"/>
      </w:tblGrid>
      <w:tr>
        <w:trPr>
          <w:trHeight w:val="695" w:hRule="atLeast"/>
        </w:trPr>
        <w:tc>
          <w:tcPr>
            <w:tcW w:w="2269" w:type="dxa"/>
          </w:tcPr>
          <w:p>
            <w:pPr>
              <w:pStyle w:val="TableParagraph"/>
              <w:spacing w:before="73"/>
              <w:ind w:left="268"/>
              <w:rPr>
                <w:sz w:val="24"/>
              </w:rPr>
            </w:pPr>
            <w:r>
              <w:rPr>
                <w:sz w:val="24"/>
              </w:rPr>
              <w:t>Marque</w:t>
            </w:r>
            <w:r>
              <w:rPr>
                <w:spacing w:val="-3"/>
                <w:sz w:val="24"/>
              </w:rPr>
              <w:t> </w:t>
            </w:r>
            <w:r>
              <w:rPr>
                <w:spacing w:val="-2"/>
                <w:sz w:val="24"/>
              </w:rPr>
              <w:t>antérieure</w:t>
            </w:r>
          </w:p>
        </w:tc>
        <w:tc>
          <w:tcPr>
            <w:tcW w:w="6323" w:type="dxa"/>
          </w:tcPr>
          <w:p>
            <w:pPr>
              <w:pStyle w:val="TableParagraph"/>
              <w:spacing w:before="73"/>
              <w:ind w:left="53"/>
              <w:jc w:val="center"/>
              <w:rPr>
                <w:sz w:val="24"/>
              </w:rPr>
            </w:pPr>
            <w:r>
              <w:rPr>
                <w:sz w:val="24"/>
              </w:rPr>
              <w:t>Signe</w:t>
            </w:r>
            <w:r>
              <w:rPr>
                <w:spacing w:val="-5"/>
                <w:sz w:val="24"/>
              </w:rPr>
              <w:t> </w:t>
            </w:r>
            <w:r>
              <w:rPr>
                <w:spacing w:val="-2"/>
                <w:sz w:val="24"/>
              </w:rPr>
              <w:t>contesté</w:t>
            </w:r>
          </w:p>
        </w:tc>
      </w:tr>
      <w:tr>
        <w:trPr>
          <w:trHeight w:val="8707" w:hRule="atLeast"/>
        </w:trPr>
        <w:tc>
          <w:tcPr>
            <w:tcW w:w="2269" w:type="dxa"/>
          </w:tcPr>
          <w:p>
            <w:pPr>
              <w:pStyle w:val="TableParagraph"/>
              <w:rPr>
                <w:sz w:val="24"/>
              </w:rPr>
            </w:pPr>
          </w:p>
          <w:p>
            <w:pPr>
              <w:pStyle w:val="TableParagraph"/>
              <w:rPr>
                <w:sz w:val="24"/>
              </w:rPr>
            </w:pPr>
          </w:p>
          <w:p>
            <w:pPr>
              <w:pStyle w:val="TableParagraph"/>
              <w:spacing w:before="78"/>
              <w:rPr>
                <w:sz w:val="24"/>
              </w:rPr>
            </w:pPr>
          </w:p>
          <w:p>
            <w:pPr>
              <w:pStyle w:val="TableParagraph"/>
              <w:ind w:left="114" w:right="61"/>
              <w:rPr>
                <w:i/>
                <w:sz w:val="24"/>
              </w:rPr>
            </w:pPr>
            <w:r>
              <w:rPr>
                <w:i/>
                <w:sz w:val="24"/>
              </w:rPr>
              <w:t>Classe 3: Préparations pour blanchir et autres substances pour </w:t>
            </w:r>
            <w:r>
              <w:rPr>
                <w:i/>
                <w:spacing w:val="-2"/>
                <w:sz w:val="24"/>
              </w:rPr>
              <w:t>lessiver;</w:t>
            </w:r>
            <w:r>
              <w:rPr>
                <w:i/>
                <w:spacing w:val="40"/>
                <w:sz w:val="24"/>
              </w:rPr>
              <w:t> </w:t>
            </w:r>
            <w:r>
              <w:rPr>
                <w:i/>
                <w:sz w:val="24"/>
              </w:rPr>
              <w:t>préparations pour nettoyer, polir, dégraisser et abraser; parfumerie; extraits (parfums); eaux de toilette parfumées;</w:t>
            </w:r>
            <w:r>
              <w:rPr>
                <w:i/>
                <w:spacing w:val="-15"/>
                <w:sz w:val="24"/>
              </w:rPr>
              <w:t> </w:t>
            </w:r>
            <w:r>
              <w:rPr>
                <w:i/>
                <w:sz w:val="24"/>
              </w:rPr>
              <w:t>colognes; lotions parfumées; poudres; poudre</w:t>
            </w:r>
            <w:r>
              <w:rPr>
                <w:i/>
                <w:spacing w:val="40"/>
                <w:sz w:val="24"/>
              </w:rPr>
              <w:t> </w:t>
            </w:r>
            <w:r>
              <w:rPr>
                <w:i/>
                <w:sz w:val="24"/>
              </w:rPr>
              <w:t>pour le bain; talc; produits de bronzage; savons; huiles pour le bain; produits de beauté; savons; fards; huiles </w:t>
            </w:r>
            <w:r>
              <w:rPr>
                <w:i/>
                <w:spacing w:val="-2"/>
                <w:sz w:val="24"/>
              </w:rPr>
              <w:t>essentielles; cosmétiques;</w:t>
            </w:r>
            <w:r>
              <w:rPr>
                <w:i/>
                <w:spacing w:val="40"/>
                <w:sz w:val="24"/>
              </w:rPr>
              <w:t> </w:t>
            </w:r>
            <w:r>
              <w:rPr>
                <w:i/>
                <w:sz w:val="24"/>
              </w:rPr>
              <w:t>produits capillaires; </w:t>
            </w:r>
            <w:r>
              <w:rPr>
                <w:i/>
                <w:spacing w:val="-2"/>
                <w:sz w:val="24"/>
              </w:rPr>
              <w:t>dentifrices.</w:t>
            </w:r>
          </w:p>
        </w:tc>
        <w:tc>
          <w:tcPr>
            <w:tcW w:w="6323" w:type="dxa"/>
          </w:tcPr>
          <w:p>
            <w:pPr>
              <w:pStyle w:val="TableParagraph"/>
              <w:spacing w:before="73"/>
              <w:ind w:left="114" w:right="150"/>
              <w:rPr>
                <w:i/>
                <w:sz w:val="24"/>
              </w:rPr>
            </w:pPr>
            <w:r>
              <w:rPr>
                <w:i/>
                <w:sz w:val="24"/>
              </w:rPr>
              <w:t>Classe 3: Durcisseurs d’ongles; base de vernis à ongles; produits</w:t>
            </w:r>
            <w:r>
              <w:rPr>
                <w:i/>
                <w:spacing w:val="-5"/>
                <w:sz w:val="24"/>
              </w:rPr>
              <w:t> </w:t>
            </w:r>
            <w:r>
              <w:rPr>
                <w:i/>
                <w:sz w:val="24"/>
              </w:rPr>
              <w:t>de</w:t>
            </w:r>
            <w:r>
              <w:rPr>
                <w:i/>
                <w:spacing w:val="-5"/>
                <w:sz w:val="24"/>
              </w:rPr>
              <w:t> </w:t>
            </w:r>
            <w:r>
              <w:rPr>
                <w:i/>
                <w:sz w:val="24"/>
              </w:rPr>
              <w:t>conditionnement</w:t>
            </w:r>
            <w:r>
              <w:rPr>
                <w:i/>
                <w:spacing w:val="-5"/>
                <w:sz w:val="24"/>
              </w:rPr>
              <w:t> </w:t>
            </w:r>
            <w:r>
              <w:rPr>
                <w:i/>
                <w:sz w:val="24"/>
              </w:rPr>
              <w:t>pour</w:t>
            </w:r>
            <w:r>
              <w:rPr>
                <w:i/>
                <w:spacing w:val="-5"/>
                <w:sz w:val="24"/>
              </w:rPr>
              <w:t> </w:t>
            </w:r>
            <w:r>
              <w:rPr>
                <w:i/>
                <w:sz w:val="24"/>
              </w:rPr>
              <w:t>les</w:t>
            </w:r>
            <w:r>
              <w:rPr>
                <w:i/>
                <w:spacing w:val="-5"/>
                <w:sz w:val="24"/>
              </w:rPr>
              <w:t> </w:t>
            </w:r>
            <w:r>
              <w:rPr>
                <w:i/>
                <w:sz w:val="24"/>
              </w:rPr>
              <w:t>ongles;</w:t>
            </w:r>
            <w:r>
              <w:rPr>
                <w:i/>
                <w:spacing w:val="-5"/>
                <w:sz w:val="24"/>
              </w:rPr>
              <w:t> </w:t>
            </w:r>
            <w:r>
              <w:rPr>
                <w:i/>
                <w:sz w:val="24"/>
              </w:rPr>
              <w:t>vernis</w:t>
            </w:r>
            <w:r>
              <w:rPr>
                <w:i/>
                <w:spacing w:val="-5"/>
                <w:sz w:val="24"/>
              </w:rPr>
              <w:t> </w:t>
            </w:r>
            <w:r>
              <w:rPr>
                <w:i/>
                <w:sz w:val="24"/>
              </w:rPr>
              <w:t>à</w:t>
            </w:r>
            <w:r>
              <w:rPr>
                <w:i/>
                <w:spacing w:val="-5"/>
                <w:sz w:val="24"/>
              </w:rPr>
              <w:t> </w:t>
            </w:r>
            <w:r>
              <w:rPr>
                <w:i/>
                <w:sz w:val="24"/>
              </w:rPr>
              <w:t>ongles; paillettes pour ongles; vernis de finition pour les ongles;</w:t>
            </w:r>
          </w:p>
          <w:p>
            <w:pPr>
              <w:pStyle w:val="TableParagraph"/>
              <w:ind w:left="114" w:right="150"/>
              <w:rPr>
                <w:i/>
                <w:sz w:val="24"/>
              </w:rPr>
            </w:pPr>
            <w:r>
              <w:rPr>
                <w:i/>
                <w:sz w:val="24"/>
              </w:rPr>
              <w:t>autocollants de stylisme ongulaire; pointes d’ongles; dissolvants pour ongles gel; base de coat des ongles voudrait; crèmes de douche; crèmes hydratantes; crèmes cosmétiques; crèmes antifreckles; crèmes parfumées; crèmes de soins; crèmes bronzantes; crèmes dépilatoires; crèmes pour la réduction</w:t>
            </w:r>
            <w:r>
              <w:rPr>
                <w:i/>
                <w:spacing w:val="-5"/>
                <w:sz w:val="24"/>
              </w:rPr>
              <w:t> </w:t>
            </w:r>
            <w:r>
              <w:rPr>
                <w:i/>
                <w:sz w:val="24"/>
              </w:rPr>
              <w:t>de</w:t>
            </w:r>
            <w:r>
              <w:rPr>
                <w:i/>
                <w:spacing w:val="-6"/>
                <w:sz w:val="24"/>
              </w:rPr>
              <w:t> </w:t>
            </w:r>
            <w:r>
              <w:rPr>
                <w:i/>
                <w:sz w:val="24"/>
              </w:rPr>
              <w:t>la</w:t>
            </w:r>
            <w:r>
              <w:rPr>
                <w:i/>
                <w:spacing w:val="-5"/>
                <w:sz w:val="24"/>
              </w:rPr>
              <w:t> </w:t>
            </w:r>
            <w:r>
              <w:rPr>
                <w:i/>
                <w:sz w:val="24"/>
              </w:rPr>
              <w:t>cellulite;</w:t>
            </w:r>
            <w:r>
              <w:rPr>
                <w:i/>
                <w:spacing w:val="-5"/>
                <w:sz w:val="24"/>
              </w:rPr>
              <w:t> </w:t>
            </w:r>
            <w:r>
              <w:rPr>
                <w:i/>
                <w:sz w:val="24"/>
              </w:rPr>
              <w:t>produits</w:t>
            </w:r>
            <w:r>
              <w:rPr>
                <w:i/>
                <w:spacing w:val="-5"/>
                <w:sz w:val="24"/>
              </w:rPr>
              <w:t> </w:t>
            </w:r>
            <w:r>
              <w:rPr>
                <w:i/>
                <w:sz w:val="24"/>
              </w:rPr>
              <w:t>pour</w:t>
            </w:r>
            <w:r>
              <w:rPr>
                <w:i/>
                <w:spacing w:val="-5"/>
                <w:sz w:val="24"/>
              </w:rPr>
              <w:t> </w:t>
            </w:r>
            <w:r>
              <w:rPr>
                <w:i/>
                <w:sz w:val="24"/>
              </w:rPr>
              <w:t>la</w:t>
            </w:r>
            <w:r>
              <w:rPr>
                <w:i/>
                <w:spacing w:val="-5"/>
                <w:sz w:val="24"/>
              </w:rPr>
              <w:t> </w:t>
            </w:r>
            <w:r>
              <w:rPr>
                <w:i/>
                <w:sz w:val="24"/>
              </w:rPr>
              <w:t>microdermabrasion; mousses destinées à la douche; mousse nettoyante; mousse nettoyante; bains moussants; après-shampooings; produits pour enlever les cuticules; assouplisseurs pour cuticules; produits pour blanchir les ongles; colles pour renforcer les ongles; lotions pour renforcer les ongles; revêtements de sculptures pour ongles; préparations pour renforcer les ongles;</w:t>
            </w:r>
            <w:r>
              <w:rPr>
                <w:i/>
                <w:spacing w:val="-1"/>
                <w:sz w:val="24"/>
              </w:rPr>
              <w:t> </w:t>
            </w:r>
            <w:r>
              <w:rPr>
                <w:i/>
                <w:sz w:val="24"/>
              </w:rPr>
              <w:t>adhésifs pour fixer des ongles artificiels; préparations cosmétiques</w:t>
            </w:r>
            <w:r>
              <w:rPr>
                <w:i/>
                <w:spacing w:val="-4"/>
                <w:sz w:val="24"/>
              </w:rPr>
              <w:t> </w:t>
            </w:r>
            <w:r>
              <w:rPr>
                <w:i/>
                <w:sz w:val="24"/>
              </w:rPr>
              <w:t>pour</w:t>
            </w:r>
            <w:r>
              <w:rPr>
                <w:i/>
                <w:spacing w:val="-4"/>
                <w:sz w:val="24"/>
              </w:rPr>
              <w:t> </w:t>
            </w:r>
            <w:r>
              <w:rPr>
                <w:i/>
                <w:sz w:val="24"/>
              </w:rPr>
              <w:t>le</w:t>
            </w:r>
            <w:r>
              <w:rPr>
                <w:i/>
                <w:spacing w:val="-5"/>
                <w:sz w:val="24"/>
              </w:rPr>
              <w:t> </w:t>
            </w:r>
            <w:r>
              <w:rPr>
                <w:i/>
                <w:sz w:val="24"/>
              </w:rPr>
              <w:t>séchage</w:t>
            </w:r>
            <w:r>
              <w:rPr>
                <w:i/>
                <w:spacing w:val="-5"/>
                <w:sz w:val="24"/>
              </w:rPr>
              <w:t> </w:t>
            </w:r>
            <w:r>
              <w:rPr>
                <w:i/>
                <w:sz w:val="24"/>
              </w:rPr>
              <w:t>des</w:t>
            </w:r>
            <w:r>
              <w:rPr>
                <w:i/>
                <w:spacing w:val="-4"/>
                <w:sz w:val="24"/>
              </w:rPr>
              <w:t> </w:t>
            </w:r>
            <w:r>
              <w:rPr>
                <w:i/>
                <w:sz w:val="24"/>
              </w:rPr>
              <w:t>ongles;</w:t>
            </w:r>
            <w:r>
              <w:rPr>
                <w:i/>
                <w:spacing w:val="-4"/>
                <w:sz w:val="24"/>
              </w:rPr>
              <w:t> </w:t>
            </w:r>
            <w:r>
              <w:rPr>
                <w:i/>
                <w:sz w:val="24"/>
              </w:rPr>
              <w:t>produits</w:t>
            </w:r>
            <w:r>
              <w:rPr>
                <w:i/>
                <w:spacing w:val="-2"/>
                <w:sz w:val="24"/>
              </w:rPr>
              <w:t> </w:t>
            </w:r>
            <w:r>
              <w:rPr>
                <w:i/>
                <w:sz w:val="24"/>
              </w:rPr>
              <w:t>de</w:t>
            </w:r>
            <w:r>
              <w:rPr>
                <w:i/>
                <w:spacing w:val="-5"/>
                <w:sz w:val="24"/>
              </w:rPr>
              <w:t> </w:t>
            </w:r>
            <w:r>
              <w:rPr>
                <w:i/>
                <w:sz w:val="24"/>
              </w:rPr>
              <w:t>pédicure; crèmes de soin pour la peau autres qu’à usage médical; déodorants pour pieds; lotions de protection solaire; vaporisateurs de nettoyage; substances à récurer; exfoliants; grains</w:t>
            </w:r>
            <w:r>
              <w:rPr>
                <w:i/>
                <w:spacing w:val="-5"/>
                <w:sz w:val="24"/>
              </w:rPr>
              <w:t> </w:t>
            </w:r>
            <w:r>
              <w:rPr>
                <w:i/>
                <w:sz w:val="24"/>
              </w:rPr>
              <w:t>pour</w:t>
            </w:r>
            <w:r>
              <w:rPr>
                <w:i/>
                <w:spacing w:val="-5"/>
                <w:sz w:val="24"/>
              </w:rPr>
              <w:t> </w:t>
            </w:r>
            <w:r>
              <w:rPr>
                <w:i/>
                <w:sz w:val="24"/>
              </w:rPr>
              <w:t>le</w:t>
            </w:r>
            <w:r>
              <w:rPr>
                <w:i/>
                <w:spacing w:val="-6"/>
                <w:sz w:val="24"/>
              </w:rPr>
              <w:t> </w:t>
            </w:r>
            <w:r>
              <w:rPr>
                <w:i/>
                <w:sz w:val="24"/>
              </w:rPr>
              <w:t>polissage;</w:t>
            </w:r>
            <w:r>
              <w:rPr>
                <w:i/>
                <w:spacing w:val="-7"/>
                <w:sz w:val="24"/>
              </w:rPr>
              <w:t> </w:t>
            </w:r>
            <w:r>
              <w:rPr>
                <w:i/>
                <w:sz w:val="24"/>
              </w:rPr>
              <w:t>gommage</w:t>
            </w:r>
            <w:r>
              <w:rPr>
                <w:i/>
                <w:spacing w:val="-6"/>
                <w:sz w:val="24"/>
              </w:rPr>
              <w:t> </w:t>
            </w:r>
            <w:r>
              <w:rPr>
                <w:i/>
                <w:sz w:val="24"/>
              </w:rPr>
              <w:t>de</w:t>
            </w:r>
            <w:r>
              <w:rPr>
                <w:i/>
                <w:spacing w:val="-6"/>
                <w:sz w:val="24"/>
              </w:rPr>
              <w:t> </w:t>
            </w:r>
            <w:r>
              <w:rPr>
                <w:i/>
                <w:sz w:val="24"/>
              </w:rPr>
              <w:t>gel;</w:t>
            </w:r>
            <w:r>
              <w:rPr>
                <w:i/>
                <w:spacing w:val="-5"/>
                <w:sz w:val="24"/>
              </w:rPr>
              <w:t> </w:t>
            </w:r>
            <w:r>
              <w:rPr>
                <w:i/>
                <w:sz w:val="24"/>
              </w:rPr>
              <w:t>crèmes</w:t>
            </w:r>
            <w:r>
              <w:rPr>
                <w:i/>
                <w:spacing w:val="-3"/>
                <w:sz w:val="24"/>
              </w:rPr>
              <w:t> </w:t>
            </w:r>
            <w:r>
              <w:rPr>
                <w:i/>
                <w:sz w:val="24"/>
              </w:rPr>
              <w:t>exfoliantes; exfoliants pour les pieds; exfoliants pour le visage autres qu’à usage médical; exfoliants pour le visage; produits de levage pour le corps; préparations de peles pour le visage à usage cosmétique; exfoliants pour le nettoyage de la peau; crèmes, lotions et gels hydratants; cosmétiques sous forme de gels; après-shampooings; émulsions adoucissantes pour la peau; émulsions pour le visage; sourcils (cosmétiques pour les -); cosmétiques de couleur; crèmes autobronzantes oublier cosmétiques; lotions et crèmes cosmétiques; cosmétiques colorants pour enfants; tonics légers cossais; crèmes</w:t>
            </w:r>
          </w:p>
        </w:tc>
      </w:tr>
    </w:tbl>
    <w:p>
      <w:pPr>
        <w:pStyle w:val="BodyText"/>
        <w:spacing w:before="259"/>
      </w:pPr>
    </w:p>
    <w:p>
      <w:pPr>
        <w:spacing w:before="0"/>
        <w:ind w:left="2737" w:right="2738" w:firstLine="0"/>
        <w:jc w:val="center"/>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p>
      <w:pPr>
        <w:spacing w:after="0"/>
        <w:jc w:val="center"/>
        <w:rPr>
          <w:sz w:val="18"/>
        </w:rPr>
        <w:sectPr>
          <w:pgSz w:w="11910" w:h="16840"/>
          <w:pgMar w:header="970" w:footer="0" w:top="1180" w:bottom="280" w:left="1275" w:right="1275"/>
        </w:sectPr>
      </w:pPr>
    </w:p>
    <w:p>
      <w:pPr>
        <w:pStyle w:val="BodyText"/>
        <w:spacing w:before="19"/>
        <w:rPr>
          <w:sz w:val="20"/>
        </w:rPr>
      </w:pPr>
      <w:r>
        <w:rPr>
          <w:sz w:val="20"/>
        </w:rPr>
        <mc:AlternateContent>
          <mc:Choice Requires="wps">
            <w:drawing>
              <wp:anchor distT="0" distB="0" distL="0" distR="0" allowOverlap="1" layoutInCell="1" locked="0" behindDoc="0" simplePos="0" relativeHeight="15745024">
                <wp:simplePos x="0" y="0"/>
                <wp:positionH relativeFrom="page">
                  <wp:posOffset>270575</wp:posOffset>
                </wp:positionH>
                <wp:positionV relativeFrom="page">
                  <wp:posOffset>1114363</wp:posOffset>
                </wp:positionV>
                <wp:extent cx="146050" cy="921004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146050" cy="9210040"/>
                        </a:xfrm>
                        <a:prstGeom prst="rect">
                          <a:avLst/>
                        </a:prstGeom>
                      </wps:spPr>
                      <wps:txbx>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wps:txbx>
                      <wps:bodyPr wrap="square" lIns="0" tIns="0" rIns="0" bIns="0" rtlCol="0" vert="vert270">
                        <a:noAutofit/>
                      </wps:bodyPr>
                    </wps:wsp>
                  </a:graphicData>
                </a:graphic>
              </wp:anchor>
            </w:drawing>
          </mc:Choice>
          <mc:Fallback>
            <w:pict>
              <v:shape style="position:absolute;margin-left:21.305176pt;margin-top:87.745193pt;width:11.5pt;height:725.2pt;mso-position-horizontal-relative:page;mso-position-vertical-relative:page;z-index:15745024" type="#_x0000_t202" id="docshape25" filled="false" stroked="false">
                <v:textbox inset="0,0,0,0" style="layout-flow:vertical;mso-layout-flow-alt:bottom-to-top">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v:textbox>
                <w10:wrap type="none"/>
              </v:shape>
            </w:pict>
          </mc:Fallback>
        </mc:AlternateContent>
      </w:r>
    </w:p>
    <w:tbl>
      <w:tblPr>
        <w:tblW w:w="0" w:type="auto"/>
        <w:jc w:val="left"/>
        <w:tblInd w:w="6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69"/>
        <w:gridCol w:w="6323"/>
      </w:tblGrid>
      <w:tr>
        <w:trPr>
          <w:trHeight w:val="5664" w:hRule="atLeast"/>
        </w:trPr>
        <w:tc>
          <w:tcPr>
            <w:tcW w:w="2269" w:type="dxa"/>
          </w:tcPr>
          <w:p>
            <w:pPr>
              <w:pStyle w:val="TableParagraph"/>
              <w:rPr>
                <w:sz w:val="22"/>
              </w:rPr>
            </w:pPr>
          </w:p>
        </w:tc>
        <w:tc>
          <w:tcPr>
            <w:tcW w:w="6323" w:type="dxa"/>
          </w:tcPr>
          <w:p>
            <w:pPr>
              <w:pStyle w:val="TableParagraph"/>
              <w:spacing w:before="76"/>
              <w:ind w:left="114" w:right="122"/>
              <w:rPr>
                <w:i/>
                <w:sz w:val="24"/>
              </w:rPr>
            </w:pPr>
            <w:r>
              <w:rPr>
                <w:i/>
                <w:sz w:val="24"/>
              </w:rPr>
              <w:t>tonifiantes correspondaient à un usage cosmétique; crèmes cosmétiques nourrissantes; cosmétiques pour cils; lotions autobronzantes oublier cosmétiques; poudriers cosmetières; rouges à usage cosmétique; cosmétiques; lotions pour les mains; produits nettoyants pour les mains; poudres pour les mains; agents nettoyants pour les mains; sérums de beauté; sérums à usage cosmétique; sérum anti-âge à usage cosmétique; sérum pour le visage à usage cosmétique; sérum artificiel pour soulager la peau; sérum calmant la peau; sérums non médicinaux pour la peau; serviettes imprégnées d’huiles essentielles à usage cosmétique; huiles cosmétiques pour</w:t>
            </w:r>
            <w:r>
              <w:rPr>
                <w:i/>
                <w:spacing w:val="-7"/>
                <w:sz w:val="24"/>
              </w:rPr>
              <w:t> </w:t>
            </w:r>
            <w:r>
              <w:rPr>
                <w:i/>
                <w:sz w:val="24"/>
              </w:rPr>
              <w:t>l’épiderme;</w:t>
            </w:r>
            <w:r>
              <w:rPr>
                <w:i/>
                <w:spacing w:val="-6"/>
                <w:sz w:val="24"/>
              </w:rPr>
              <w:t> </w:t>
            </w:r>
            <w:r>
              <w:rPr>
                <w:i/>
                <w:sz w:val="24"/>
              </w:rPr>
              <w:t>huiles</w:t>
            </w:r>
            <w:r>
              <w:rPr>
                <w:i/>
                <w:spacing w:val="-5"/>
                <w:sz w:val="24"/>
              </w:rPr>
              <w:t> </w:t>
            </w:r>
            <w:r>
              <w:rPr>
                <w:i/>
                <w:sz w:val="24"/>
              </w:rPr>
              <w:t>essentielles;</w:t>
            </w:r>
            <w:r>
              <w:rPr>
                <w:i/>
                <w:spacing w:val="-7"/>
                <w:sz w:val="24"/>
              </w:rPr>
              <w:t> </w:t>
            </w:r>
            <w:r>
              <w:rPr>
                <w:i/>
                <w:sz w:val="24"/>
              </w:rPr>
              <w:t>baignoires;</w:t>
            </w:r>
            <w:r>
              <w:rPr>
                <w:i/>
                <w:spacing w:val="-6"/>
                <w:sz w:val="24"/>
              </w:rPr>
              <w:t> </w:t>
            </w:r>
            <w:r>
              <w:rPr>
                <w:i/>
                <w:sz w:val="24"/>
              </w:rPr>
              <w:t>savon</w:t>
            </w:r>
            <w:r>
              <w:rPr>
                <w:i/>
                <w:spacing w:val="-6"/>
                <w:sz w:val="24"/>
              </w:rPr>
              <w:t> </w:t>
            </w:r>
            <w:r>
              <w:rPr>
                <w:i/>
                <w:sz w:val="24"/>
              </w:rPr>
              <w:t>de</w:t>
            </w:r>
            <w:r>
              <w:rPr>
                <w:i/>
                <w:spacing w:val="-7"/>
                <w:sz w:val="24"/>
              </w:rPr>
              <w:t> </w:t>
            </w:r>
            <w:r>
              <w:rPr>
                <w:i/>
                <w:sz w:val="24"/>
              </w:rPr>
              <w:t>bain à usage cosmétique; huiles de bain à usage cosmétique; bain moussant; flocons de bain; splash pour le corps; lotions pour le corps; émulsions pour le corps; paillettes pour le corps; fluides effervescents pour le corps; lotions parfumées pour le corps; hydratants pour le corps; crèmes pour les mains; crèmes pour les mains à usage cosmétique; lotions pour les mains autres qu’à usage médical; sérum anti-âge.</w:t>
            </w:r>
          </w:p>
        </w:tc>
      </w:tr>
    </w:tbl>
    <w:p>
      <w:pPr>
        <w:pStyle w:val="ListParagraph"/>
        <w:numPr>
          <w:ilvl w:val="0"/>
          <w:numId w:val="1"/>
        </w:numPr>
        <w:tabs>
          <w:tab w:pos="590" w:val="left" w:leader="none"/>
        </w:tabs>
        <w:spacing w:line="240" w:lineRule="auto" w:before="118" w:after="0"/>
        <w:ind w:left="590" w:right="161" w:hanging="425"/>
        <w:jc w:val="both"/>
        <w:rPr>
          <w:sz w:val="24"/>
        </w:rPr>
      </w:pPr>
      <w:r>
        <w:rPr>
          <w:sz w:val="24"/>
        </w:rPr>
        <w:t>Pour apprécier la similitude entre les produits ou services, il y a lieu de tenir compte de tous les facteurs pertinents qui caractérisent le rapport entre les produits ou services. Ces facteurs</w:t>
      </w:r>
      <w:r>
        <w:rPr>
          <w:spacing w:val="-3"/>
          <w:sz w:val="24"/>
        </w:rPr>
        <w:t> </w:t>
      </w:r>
      <w:r>
        <w:rPr>
          <w:sz w:val="24"/>
        </w:rPr>
        <w:t>incluent,</w:t>
      </w:r>
      <w:r>
        <w:rPr>
          <w:spacing w:val="-3"/>
          <w:sz w:val="24"/>
        </w:rPr>
        <w:t> </w:t>
      </w:r>
      <w:r>
        <w:rPr>
          <w:sz w:val="24"/>
        </w:rPr>
        <w:t>en</w:t>
      </w:r>
      <w:r>
        <w:rPr>
          <w:spacing w:val="-3"/>
          <w:sz w:val="24"/>
        </w:rPr>
        <w:t> </w:t>
      </w:r>
      <w:r>
        <w:rPr>
          <w:sz w:val="24"/>
        </w:rPr>
        <w:t>particulier,</w:t>
      </w:r>
      <w:r>
        <w:rPr>
          <w:spacing w:val="-3"/>
          <w:sz w:val="24"/>
        </w:rPr>
        <w:t> </w:t>
      </w:r>
      <w:r>
        <w:rPr>
          <w:sz w:val="24"/>
        </w:rPr>
        <w:t>leur</w:t>
      </w:r>
      <w:r>
        <w:rPr>
          <w:spacing w:val="-3"/>
          <w:sz w:val="24"/>
        </w:rPr>
        <w:t> </w:t>
      </w:r>
      <w:r>
        <w:rPr>
          <w:sz w:val="24"/>
        </w:rPr>
        <w:t>nature,</w:t>
      </w:r>
      <w:r>
        <w:rPr>
          <w:spacing w:val="-3"/>
          <w:sz w:val="24"/>
        </w:rPr>
        <w:t> </w:t>
      </w:r>
      <w:r>
        <w:rPr>
          <w:sz w:val="24"/>
        </w:rPr>
        <w:t>leur</w:t>
      </w:r>
      <w:r>
        <w:rPr>
          <w:spacing w:val="-3"/>
          <w:sz w:val="24"/>
        </w:rPr>
        <w:t> </w:t>
      </w:r>
      <w:r>
        <w:rPr>
          <w:sz w:val="24"/>
        </w:rPr>
        <w:t>destination,</w:t>
      </w:r>
      <w:r>
        <w:rPr>
          <w:spacing w:val="-3"/>
          <w:sz w:val="24"/>
        </w:rPr>
        <w:t> </w:t>
      </w:r>
      <w:r>
        <w:rPr>
          <w:sz w:val="24"/>
        </w:rPr>
        <w:t>leur</w:t>
      </w:r>
      <w:r>
        <w:rPr>
          <w:spacing w:val="-5"/>
          <w:sz w:val="24"/>
        </w:rPr>
        <w:t> </w:t>
      </w:r>
      <w:r>
        <w:rPr>
          <w:sz w:val="24"/>
        </w:rPr>
        <w:t>utilisation</w:t>
      </w:r>
      <w:r>
        <w:rPr>
          <w:spacing w:val="-6"/>
          <w:sz w:val="24"/>
        </w:rPr>
        <w:t> </w:t>
      </w:r>
      <w:r>
        <w:rPr>
          <w:sz w:val="24"/>
        </w:rPr>
        <w:t>ainsi</w:t>
      </w:r>
      <w:r>
        <w:rPr>
          <w:spacing w:val="-3"/>
          <w:sz w:val="24"/>
        </w:rPr>
        <w:t> </w:t>
      </w:r>
      <w:r>
        <w:rPr>
          <w:sz w:val="24"/>
        </w:rPr>
        <w:t>que</w:t>
      </w:r>
      <w:r>
        <w:rPr>
          <w:spacing w:val="-4"/>
          <w:sz w:val="24"/>
        </w:rPr>
        <w:t> </w:t>
      </w:r>
      <w:r>
        <w:rPr>
          <w:sz w:val="24"/>
        </w:rPr>
        <w:t>leur caractère concurrent ou complémentaire (29/09/1998-, 39/97, Canon, EU:C:1998:442, § 23). D’autres facteurs peuvent également être pris en considération, tels que leur origine habituelle et le public pertinent.</w:t>
      </w:r>
    </w:p>
    <w:p>
      <w:pPr>
        <w:pStyle w:val="ListParagraph"/>
        <w:numPr>
          <w:ilvl w:val="0"/>
          <w:numId w:val="1"/>
        </w:numPr>
        <w:tabs>
          <w:tab w:pos="590" w:val="left" w:leader="none"/>
        </w:tabs>
        <w:spacing w:line="240" w:lineRule="auto" w:before="241" w:after="0"/>
        <w:ind w:left="590" w:right="161" w:hanging="425"/>
        <w:jc w:val="both"/>
        <w:rPr>
          <w:sz w:val="24"/>
        </w:rPr>
      </w:pPr>
      <w:r>
        <w:rPr>
          <w:sz w:val="24"/>
        </w:rPr>
        <w:t>Les produits ou services sont identiques lorsqu’ils sont inclus dans une catégorie plus générale visée par l’autre marque (13/09/2018,-94/17, tigha/TAIGA, EU:T:2018:539, § 46; 05/02/2020, T-44/19, TC Touring Club (fig.)/TOURING CLUB ITALIANO et al., EU:T:2020:31, § 91).</w:t>
      </w:r>
    </w:p>
    <w:p>
      <w:pPr>
        <w:pStyle w:val="ListParagraph"/>
        <w:numPr>
          <w:ilvl w:val="0"/>
          <w:numId w:val="1"/>
        </w:numPr>
        <w:tabs>
          <w:tab w:pos="590" w:val="left" w:leader="none"/>
        </w:tabs>
        <w:spacing w:line="240" w:lineRule="auto" w:before="240" w:after="0"/>
        <w:ind w:left="590" w:right="164" w:hanging="425"/>
        <w:jc w:val="both"/>
        <w:rPr>
          <w:sz w:val="24"/>
        </w:rPr>
      </w:pPr>
      <w:r>
        <w:rPr>
          <w:sz w:val="24"/>
        </w:rPr>
        <w:t>Pour</w:t>
      </w:r>
      <w:r>
        <w:rPr>
          <w:spacing w:val="-3"/>
          <w:sz w:val="24"/>
        </w:rPr>
        <w:t> </w:t>
      </w:r>
      <w:r>
        <w:rPr>
          <w:sz w:val="24"/>
        </w:rPr>
        <w:t>des</w:t>
      </w:r>
      <w:r>
        <w:rPr>
          <w:spacing w:val="-4"/>
          <w:sz w:val="24"/>
        </w:rPr>
        <w:t> </w:t>
      </w:r>
      <w:r>
        <w:rPr>
          <w:sz w:val="24"/>
        </w:rPr>
        <w:t>raisons</w:t>
      </w:r>
      <w:r>
        <w:rPr>
          <w:spacing w:val="-3"/>
          <w:sz w:val="24"/>
        </w:rPr>
        <w:t> </w:t>
      </w:r>
      <w:r>
        <w:rPr>
          <w:sz w:val="24"/>
        </w:rPr>
        <w:t>d’économie</w:t>
      </w:r>
      <w:r>
        <w:rPr>
          <w:spacing w:val="-4"/>
          <w:sz w:val="24"/>
        </w:rPr>
        <w:t> </w:t>
      </w:r>
      <w:r>
        <w:rPr>
          <w:sz w:val="24"/>
        </w:rPr>
        <w:t>de</w:t>
      </w:r>
      <w:r>
        <w:rPr>
          <w:spacing w:val="-4"/>
          <w:sz w:val="24"/>
        </w:rPr>
        <w:t> </w:t>
      </w:r>
      <w:r>
        <w:rPr>
          <w:sz w:val="24"/>
        </w:rPr>
        <w:t>procédure,</w:t>
      </w:r>
      <w:r>
        <w:rPr>
          <w:spacing w:val="-3"/>
          <w:sz w:val="24"/>
        </w:rPr>
        <w:t> </w:t>
      </w:r>
      <w:r>
        <w:rPr>
          <w:sz w:val="24"/>
        </w:rPr>
        <w:t>la</w:t>
      </w:r>
      <w:r>
        <w:rPr>
          <w:spacing w:val="-3"/>
          <w:sz w:val="24"/>
        </w:rPr>
        <w:t> </w:t>
      </w:r>
      <w:r>
        <w:rPr>
          <w:sz w:val="24"/>
        </w:rPr>
        <w:t>division</w:t>
      </w:r>
      <w:r>
        <w:rPr>
          <w:spacing w:val="-3"/>
          <w:sz w:val="24"/>
        </w:rPr>
        <w:t> </w:t>
      </w:r>
      <w:r>
        <w:rPr>
          <w:sz w:val="24"/>
        </w:rPr>
        <w:t>d’opposition</w:t>
      </w:r>
      <w:r>
        <w:rPr>
          <w:spacing w:val="-3"/>
          <w:sz w:val="24"/>
        </w:rPr>
        <w:t> </w:t>
      </w:r>
      <w:r>
        <w:rPr>
          <w:sz w:val="24"/>
        </w:rPr>
        <w:t>n’a</w:t>
      </w:r>
      <w:r>
        <w:rPr>
          <w:spacing w:val="-5"/>
          <w:sz w:val="24"/>
        </w:rPr>
        <w:t> </w:t>
      </w:r>
      <w:r>
        <w:rPr>
          <w:sz w:val="24"/>
        </w:rPr>
        <w:t>pas</w:t>
      </w:r>
      <w:r>
        <w:rPr>
          <w:spacing w:val="-6"/>
          <w:sz w:val="24"/>
        </w:rPr>
        <w:t> </w:t>
      </w:r>
      <w:r>
        <w:rPr>
          <w:sz w:val="24"/>
        </w:rPr>
        <w:t>procédé</w:t>
      </w:r>
      <w:r>
        <w:rPr>
          <w:spacing w:val="-4"/>
          <w:sz w:val="24"/>
        </w:rPr>
        <w:t> </w:t>
      </w:r>
      <w:r>
        <w:rPr>
          <w:sz w:val="24"/>
        </w:rPr>
        <w:t>à</w:t>
      </w:r>
      <w:r>
        <w:rPr>
          <w:spacing w:val="-4"/>
          <w:sz w:val="24"/>
        </w:rPr>
        <w:t> </w:t>
      </w:r>
      <w:r>
        <w:rPr>
          <w:sz w:val="24"/>
        </w:rPr>
        <w:t>une comparaison complète des produits pertinents et a procédé à l’examen de l’opposition comme si tous les produits comparés étaient identiques.</w:t>
      </w:r>
    </w:p>
    <w:p>
      <w:pPr>
        <w:pStyle w:val="ListParagraph"/>
        <w:numPr>
          <w:ilvl w:val="0"/>
          <w:numId w:val="1"/>
        </w:numPr>
        <w:tabs>
          <w:tab w:pos="590" w:val="left" w:leader="none"/>
        </w:tabs>
        <w:spacing w:line="240" w:lineRule="auto" w:before="240" w:after="0"/>
        <w:ind w:left="590" w:right="158" w:hanging="425"/>
        <w:jc w:val="both"/>
        <w:rPr>
          <w:i/>
          <w:sz w:val="24"/>
        </w:rPr>
      </w:pPr>
      <w:r>
        <w:rPr>
          <w:sz w:val="24"/>
        </w:rPr>
        <w:t>Les durcisseurs </w:t>
      </w:r>
      <w:r>
        <w:rPr>
          <w:i/>
          <w:sz w:val="24"/>
        </w:rPr>
        <w:t>pour les ongles contestés; base de vernis à ongles; produits de conditionnement</w:t>
      </w:r>
      <w:r>
        <w:rPr>
          <w:i/>
          <w:spacing w:val="-12"/>
          <w:sz w:val="24"/>
        </w:rPr>
        <w:t> </w:t>
      </w:r>
      <w:r>
        <w:rPr>
          <w:i/>
          <w:sz w:val="24"/>
        </w:rPr>
        <w:t>pour</w:t>
      </w:r>
      <w:r>
        <w:rPr>
          <w:i/>
          <w:spacing w:val="-12"/>
          <w:sz w:val="24"/>
        </w:rPr>
        <w:t> </w:t>
      </w:r>
      <w:r>
        <w:rPr>
          <w:i/>
          <w:sz w:val="24"/>
        </w:rPr>
        <w:t>les</w:t>
      </w:r>
      <w:r>
        <w:rPr>
          <w:i/>
          <w:spacing w:val="-10"/>
          <w:sz w:val="24"/>
        </w:rPr>
        <w:t> </w:t>
      </w:r>
      <w:r>
        <w:rPr>
          <w:i/>
          <w:sz w:val="24"/>
        </w:rPr>
        <w:t>ongles;</w:t>
      </w:r>
      <w:r>
        <w:rPr>
          <w:i/>
          <w:spacing w:val="-11"/>
          <w:sz w:val="24"/>
        </w:rPr>
        <w:t> </w:t>
      </w:r>
      <w:r>
        <w:rPr>
          <w:i/>
          <w:sz w:val="24"/>
        </w:rPr>
        <w:t>vernis</w:t>
      </w:r>
      <w:r>
        <w:rPr>
          <w:i/>
          <w:spacing w:val="-11"/>
          <w:sz w:val="24"/>
        </w:rPr>
        <w:t> </w:t>
      </w:r>
      <w:r>
        <w:rPr>
          <w:i/>
          <w:sz w:val="24"/>
        </w:rPr>
        <w:t>à</w:t>
      </w:r>
      <w:r>
        <w:rPr>
          <w:i/>
          <w:spacing w:val="-12"/>
          <w:sz w:val="24"/>
        </w:rPr>
        <w:t> </w:t>
      </w:r>
      <w:r>
        <w:rPr>
          <w:i/>
          <w:sz w:val="24"/>
        </w:rPr>
        <w:t>ongles;</w:t>
      </w:r>
      <w:r>
        <w:rPr>
          <w:i/>
          <w:spacing w:val="-10"/>
          <w:sz w:val="24"/>
        </w:rPr>
        <w:t> </w:t>
      </w:r>
      <w:r>
        <w:rPr>
          <w:i/>
          <w:sz w:val="24"/>
        </w:rPr>
        <w:t>paillettes</w:t>
      </w:r>
      <w:r>
        <w:rPr>
          <w:i/>
          <w:spacing w:val="-12"/>
          <w:sz w:val="24"/>
        </w:rPr>
        <w:t> </w:t>
      </w:r>
      <w:r>
        <w:rPr>
          <w:i/>
          <w:sz w:val="24"/>
        </w:rPr>
        <w:t>pour</w:t>
      </w:r>
      <w:r>
        <w:rPr>
          <w:i/>
          <w:spacing w:val="-12"/>
          <w:sz w:val="24"/>
        </w:rPr>
        <w:t> </w:t>
      </w:r>
      <w:r>
        <w:rPr>
          <w:i/>
          <w:sz w:val="24"/>
        </w:rPr>
        <w:t>ongles;</w:t>
      </w:r>
      <w:r>
        <w:rPr>
          <w:i/>
          <w:spacing w:val="-11"/>
          <w:sz w:val="24"/>
        </w:rPr>
        <w:t> </w:t>
      </w:r>
      <w:r>
        <w:rPr>
          <w:i/>
          <w:sz w:val="24"/>
        </w:rPr>
        <w:t>vernis</w:t>
      </w:r>
      <w:r>
        <w:rPr>
          <w:i/>
          <w:spacing w:val="-11"/>
          <w:sz w:val="24"/>
        </w:rPr>
        <w:t> </w:t>
      </w:r>
      <w:r>
        <w:rPr>
          <w:i/>
          <w:sz w:val="24"/>
        </w:rPr>
        <w:t>de</w:t>
      </w:r>
      <w:r>
        <w:rPr>
          <w:i/>
          <w:spacing w:val="-13"/>
          <w:sz w:val="24"/>
        </w:rPr>
        <w:t> </w:t>
      </w:r>
      <w:r>
        <w:rPr>
          <w:i/>
          <w:sz w:val="24"/>
        </w:rPr>
        <w:t>finition pour les ongles; autocollants de stylisme ongulaire; pointes d’ongles; dissolvants pour ongles gel; base de coat des ongles voudrait; crèmes de douche; crèmes hydratantes; crèmes cosmétiques; crèmes antifreckles; crèmes parfumées; crèmes de soins; crèmes bronzantes; crèmes dépilatoires; crèmes pour la réduction de la cellulite; produits pour la microdermabrasion; mousses destinées à la douche; mousse nettoyante; mousse nettoyante; bains moussants; après-shampooings; produits pour enlever les cuticules; assouplisseurs</w:t>
      </w:r>
      <w:r>
        <w:rPr>
          <w:i/>
          <w:spacing w:val="-10"/>
          <w:sz w:val="24"/>
        </w:rPr>
        <w:t> </w:t>
      </w:r>
      <w:r>
        <w:rPr>
          <w:i/>
          <w:sz w:val="24"/>
        </w:rPr>
        <w:t>pour</w:t>
      </w:r>
      <w:r>
        <w:rPr>
          <w:i/>
          <w:spacing w:val="-10"/>
          <w:sz w:val="24"/>
        </w:rPr>
        <w:t> </w:t>
      </w:r>
      <w:r>
        <w:rPr>
          <w:i/>
          <w:sz w:val="24"/>
        </w:rPr>
        <w:t>cuticules;</w:t>
      </w:r>
      <w:r>
        <w:rPr>
          <w:i/>
          <w:spacing w:val="-12"/>
          <w:sz w:val="24"/>
        </w:rPr>
        <w:t> </w:t>
      </w:r>
      <w:r>
        <w:rPr>
          <w:i/>
          <w:sz w:val="24"/>
        </w:rPr>
        <w:t>produits</w:t>
      </w:r>
      <w:r>
        <w:rPr>
          <w:i/>
          <w:spacing w:val="-10"/>
          <w:sz w:val="24"/>
        </w:rPr>
        <w:t> </w:t>
      </w:r>
      <w:r>
        <w:rPr>
          <w:i/>
          <w:sz w:val="24"/>
        </w:rPr>
        <w:t>pour</w:t>
      </w:r>
      <w:r>
        <w:rPr>
          <w:i/>
          <w:spacing w:val="-10"/>
          <w:sz w:val="24"/>
        </w:rPr>
        <w:t> </w:t>
      </w:r>
      <w:r>
        <w:rPr>
          <w:i/>
          <w:sz w:val="24"/>
        </w:rPr>
        <w:t>blanchir</w:t>
      </w:r>
      <w:r>
        <w:rPr>
          <w:i/>
          <w:spacing w:val="-10"/>
          <w:sz w:val="24"/>
        </w:rPr>
        <w:t> </w:t>
      </w:r>
      <w:r>
        <w:rPr>
          <w:i/>
          <w:sz w:val="24"/>
        </w:rPr>
        <w:t>les</w:t>
      </w:r>
      <w:r>
        <w:rPr>
          <w:i/>
          <w:spacing w:val="-11"/>
          <w:sz w:val="24"/>
        </w:rPr>
        <w:t> </w:t>
      </w:r>
      <w:r>
        <w:rPr>
          <w:i/>
          <w:sz w:val="24"/>
        </w:rPr>
        <w:t>ongles;</w:t>
      </w:r>
      <w:r>
        <w:rPr>
          <w:i/>
          <w:spacing w:val="-9"/>
          <w:sz w:val="24"/>
        </w:rPr>
        <w:t> </w:t>
      </w:r>
      <w:r>
        <w:rPr>
          <w:i/>
          <w:sz w:val="24"/>
        </w:rPr>
        <w:t>colles</w:t>
      </w:r>
      <w:r>
        <w:rPr>
          <w:i/>
          <w:spacing w:val="-10"/>
          <w:sz w:val="24"/>
        </w:rPr>
        <w:t> </w:t>
      </w:r>
      <w:r>
        <w:rPr>
          <w:i/>
          <w:sz w:val="24"/>
        </w:rPr>
        <w:t>pour</w:t>
      </w:r>
      <w:r>
        <w:rPr>
          <w:i/>
          <w:spacing w:val="-10"/>
          <w:sz w:val="24"/>
        </w:rPr>
        <w:t> </w:t>
      </w:r>
      <w:r>
        <w:rPr>
          <w:i/>
          <w:sz w:val="24"/>
        </w:rPr>
        <w:t>renforcer</w:t>
      </w:r>
      <w:r>
        <w:rPr>
          <w:i/>
          <w:spacing w:val="-7"/>
          <w:sz w:val="24"/>
        </w:rPr>
        <w:t> </w:t>
      </w:r>
      <w:r>
        <w:rPr>
          <w:i/>
          <w:sz w:val="24"/>
        </w:rPr>
        <w:t>les ongles; lotions pour renforcer les ongles; revêtements de sculptures pour ongles; préparations pour renforcer les ongles; adhésifs pour fixer des ongles artificiels; préparations cosmétiques pour le séchage des ongles; produits de pédicure; crèmes de soin</w:t>
      </w:r>
      <w:r>
        <w:rPr>
          <w:i/>
          <w:spacing w:val="-11"/>
          <w:sz w:val="24"/>
        </w:rPr>
        <w:t> </w:t>
      </w:r>
      <w:r>
        <w:rPr>
          <w:i/>
          <w:sz w:val="24"/>
        </w:rPr>
        <w:t>pour</w:t>
      </w:r>
      <w:r>
        <w:rPr>
          <w:i/>
          <w:spacing w:val="-12"/>
          <w:sz w:val="24"/>
        </w:rPr>
        <w:t> </w:t>
      </w:r>
      <w:r>
        <w:rPr>
          <w:i/>
          <w:sz w:val="24"/>
        </w:rPr>
        <w:t>la</w:t>
      </w:r>
      <w:r>
        <w:rPr>
          <w:i/>
          <w:spacing w:val="-12"/>
          <w:sz w:val="24"/>
        </w:rPr>
        <w:t> </w:t>
      </w:r>
      <w:r>
        <w:rPr>
          <w:i/>
          <w:sz w:val="24"/>
        </w:rPr>
        <w:t>peau</w:t>
      </w:r>
      <w:r>
        <w:rPr>
          <w:i/>
          <w:spacing w:val="-10"/>
          <w:sz w:val="24"/>
        </w:rPr>
        <w:t> </w:t>
      </w:r>
      <w:r>
        <w:rPr>
          <w:i/>
          <w:sz w:val="24"/>
        </w:rPr>
        <w:t>autres</w:t>
      </w:r>
      <w:r>
        <w:rPr>
          <w:i/>
          <w:spacing w:val="-10"/>
          <w:sz w:val="24"/>
        </w:rPr>
        <w:t> </w:t>
      </w:r>
      <w:r>
        <w:rPr>
          <w:i/>
          <w:sz w:val="24"/>
        </w:rPr>
        <w:t>qu’à</w:t>
      </w:r>
      <w:r>
        <w:rPr>
          <w:i/>
          <w:spacing w:val="-13"/>
          <w:sz w:val="24"/>
        </w:rPr>
        <w:t> </w:t>
      </w:r>
      <w:r>
        <w:rPr>
          <w:i/>
          <w:sz w:val="24"/>
        </w:rPr>
        <w:t>usage</w:t>
      </w:r>
      <w:r>
        <w:rPr>
          <w:i/>
          <w:spacing w:val="-11"/>
          <w:sz w:val="24"/>
        </w:rPr>
        <w:t> </w:t>
      </w:r>
      <w:r>
        <w:rPr>
          <w:i/>
          <w:sz w:val="24"/>
        </w:rPr>
        <w:t>médical;</w:t>
      </w:r>
      <w:r>
        <w:rPr>
          <w:i/>
          <w:spacing w:val="-11"/>
          <w:sz w:val="24"/>
        </w:rPr>
        <w:t> </w:t>
      </w:r>
      <w:r>
        <w:rPr>
          <w:i/>
          <w:sz w:val="24"/>
        </w:rPr>
        <w:t>déodorants</w:t>
      </w:r>
      <w:r>
        <w:rPr>
          <w:i/>
          <w:spacing w:val="-12"/>
          <w:sz w:val="24"/>
        </w:rPr>
        <w:t> </w:t>
      </w:r>
      <w:r>
        <w:rPr>
          <w:i/>
          <w:sz w:val="24"/>
        </w:rPr>
        <w:t>pour</w:t>
      </w:r>
      <w:r>
        <w:rPr>
          <w:i/>
          <w:spacing w:val="-12"/>
          <w:sz w:val="24"/>
        </w:rPr>
        <w:t> </w:t>
      </w:r>
      <w:r>
        <w:rPr>
          <w:i/>
          <w:sz w:val="24"/>
        </w:rPr>
        <w:t>pieds;</w:t>
      </w:r>
      <w:r>
        <w:rPr>
          <w:i/>
          <w:spacing w:val="-13"/>
          <w:sz w:val="24"/>
        </w:rPr>
        <w:t> </w:t>
      </w:r>
      <w:r>
        <w:rPr>
          <w:i/>
          <w:sz w:val="24"/>
        </w:rPr>
        <w:t>lotions</w:t>
      </w:r>
      <w:r>
        <w:rPr>
          <w:i/>
          <w:spacing w:val="-12"/>
          <w:sz w:val="24"/>
        </w:rPr>
        <w:t> </w:t>
      </w:r>
      <w:r>
        <w:rPr>
          <w:i/>
          <w:sz w:val="24"/>
        </w:rPr>
        <w:t>de</w:t>
      </w:r>
      <w:r>
        <w:rPr>
          <w:i/>
          <w:spacing w:val="-13"/>
          <w:sz w:val="24"/>
        </w:rPr>
        <w:t> </w:t>
      </w:r>
      <w:r>
        <w:rPr>
          <w:i/>
          <w:sz w:val="24"/>
        </w:rPr>
        <w:t>protection</w:t>
      </w:r>
    </w:p>
    <w:p>
      <w:pPr>
        <w:pStyle w:val="BodyText"/>
        <w:rPr>
          <w:i/>
          <w:sz w:val="18"/>
        </w:rPr>
      </w:pPr>
    </w:p>
    <w:p>
      <w:pPr>
        <w:pStyle w:val="BodyText"/>
        <w:rPr>
          <w:i/>
          <w:sz w:val="18"/>
        </w:rPr>
      </w:pPr>
    </w:p>
    <w:p>
      <w:pPr>
        <w:pStyle w:val="BodyText"/>
        <w:spacing w:before="15"/>
        <w:rPr>
          <w:i/>
          <w:sz w:val="18"/>
        </w:rPr>
      </w:pPr>
    </w:p>
    <w:p>
      <w:pPr>
        <w:spacing w:before="0"/>
        <w:ind w:left="2737" w:right="2738" w:firstLine="0"/>
        <w:jc w:val="center"/>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p>
      <w:pPr>
        <w:spacing w:after="0"/>
        <w:jc w:val="center"/>
        <w:rPr>
          <w:sz w:val="18"/>
        </w:rPr>
        <w:sectPr>
          <w:pgSz w:w="11910" w:h="16840"/>
          <w:pgMar w:header="970" w:footer="0" w:top="1180" w:bottom="280" w:left="1275" w:right="1275"/>
        </w:sectPr>
      </w:pPr>
    </w:p>
    <w:p>
      <w:pPr>
        <w:spacing w:before="249"/>
        <w:ind w:left="590" w:right="159" w:firstLine="0"/>
        <w:jc w:val="both"/>
        <w:rPr>
          <w:sz w:val="24"/>
        </w:rPr>
      </w:pPr>
      <w:r>
        <w:rPr>
          <w:sz w:val="24"/>
        </w:rPr>
        <mc:AlternateContent>
          <mc:Choice Requires="wps">
            <w:drawing>
              <wp:anchor distT="0" distB="0" distL="0" distR="0" allowOverlap="1" layoutInCell="1" locked="0" behindDoc="0" simplePos="0" relativeHeight="15745536">
                <wp:simplePos x="0" y="0"/>
                <wp:positionH relativeFrom="page">
                  <wp:posOffset>270575</wp:posOffset>
                </wp:positionH>
                <wp:positionV relativeFrom="page">
                  <wp:posOffset>1114363</wp:posOffset>
                </wp:positionV>
                <wp:extent cx="146050" cy="921004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146050" cy="9210040"/>
                        </a:xfrm>
                        <a:prstGeom prst="rect">
                          <a:avLst/>
                        </a:prstGeom>
                      </wps:spPr>
                      <wps:txbx>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wps:txbx>
                      <wps:bodyPr wrap="square" lIns="0" tIns="0" rIns="0" bIns="0" rtlCol="0" vert="vert270">
                        <a:noAutofit/>
                      </wps:bodyPr>
                    </wps:wsp>
                  </a:graphicData>
                </a:graphic>
              </wp:anchor>
            </w:drawing>
          </mc:Choice>
          <mc:Fallback>
            <w:pict>
              <v:shape style="position:absolute;margin-left:21.305176pt;margin-top:87.745193pt;width:11.5pt;height:725.2pt;mso-position-horizontal-relative:page;mso-position-vertical-relative:page;z-index:15745536" type="#_x0000_t202" id="docshape26" filled="false" stroked="false">
                <v:textbox inset="0,0,0,0" style="layout-flow:vertical;mso-layout-flow-alt:bottom-to-top">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v:textbox>
                <w10:wrap type="none"/>
              </v:shape>
            </w:pict>
          </mc:Fallback>
        </mc:AlternateContent>
      </w:r>
      <w:r>
        <w:rPr>
          <w:i/>
          <w:sz w:val="24"/>
        </w:rPr>
        <w:t>solaire; vaporisateurs de nettoyage; substances à récurer; exfoliants; grains pour le polissage;</w:t>
      </w:r>
      <w:r>
        <w:rPr>
          <w:i/>
          <w:spacing w:val="-5"/>
          <w:sz w:val="24"/>
        </w:rPr>
        <w:t> </w:t>
      </w:r>
      <w:r>
        <w:rPr>
          <w:i/>
          <w:sz w:val="24"/>
        </w:rPr>
        <w:t>gommage</w:t>
      </w:r>
      <w:r>
        <w:rPr>
          <w:i/>
          <w:spacing w:val="-4"/>
          <w:sz w:val="24"/>
        </w:rPr>
        <w:t> </w:t>
      </w:r>
      <w:r>
        <w:rPr>
          <w:i/>
          <w:sz w:val="24"/>
        </w:rPr>
        <w:t>de</w:t>
      </w:r>
      <w:r>
        <w:rPr>
          <w:i/>
          <w:spacing w:val="-4"/>
          <w:sz w:val="24"/>
        </w:rPr>
        <w:t> </w:t>
      </w:r>
      <w:r>
        <w:rPr>
          <w:i/>
          <w:sz w:val="24"/>
        </w:rPr>
        <w:t>gel;</w:t>
      </w:r>
      <w:r>
        <w:rPr>
          <w:i/>
          <w:spacing w:val="-3"/>
          <w:sz w:val="24"/>
        </w:rPr>
        <w:t> </w:t>
      </w:r>
      <w:r>
        <w:rPr>
          <w:i/>
          <w:sz w:val="24"/>
        </w:rPr>
        <w:t>crèmes</w:t>
      </w:r>
      <w:r>
        <w:rPr>
          <w:i/>
          <w:spacing w:val="-3"/>
          <w:sz w:val="24"/>
        </w:rPr>
        <w:t> </w:t>
      </w:r>
      <w:r>
        <w:rPr>
          <w:i/>
          <w:sz w:val="24"/>
        </w:rPr>
        <w:t>exfoliantes;</w:t>
      </w:r>
      <w:r>
        <w:rPr>
          <w:i/>
          <w:spacing w:val="-3"/>
          <w:sz w:val="24"/>
        </w:rPr>
        <w:t> </w:t>
      </w:r>
      <w:r>
        <w:rPr>
          <w:i/>
          <w:sz w:val="24"/>
        </w:rPr>
        <w:t>exfoliants</w:t>
      </w:r>
      <w:r>
        <w:rPr>
          <w:i/>
          <w:spacing w:val="-3"/>
          <w:sz w:val="24"/>
        </w:rPr>
        <w:t> </w:t>
      </w:r>
      <w:r>
        <w:rPr>
          <w:i/>
          <w:sz w:val="24"/>
        </w:rPr>
        <w:t>pour</w:t>
      </w:r>
      <w:r>
        <w:rPr>
          <w:i/>
          <w:spacing w:val="-3"/>
          <w:sz w:val="24"/>
        </w:rPr>
        <w:t> </w:t>
      </w:r>
      <w:r>
        <w:rPr>
          <w:i/>
          <w:sz w:val="24"/>
        </w:rPr>
        <w:t>les</w:t>
      </w:r>
      <w:r>
        <w:rPr>
          <w:i/>
          <w:spacing w:val="-3"/>
          <w:sz w:val="24"/>
        </w:rPr>
        <w:t> </w:t>
      </w:r>
      <w:r>
        <w:rPr>
          <w:i/>
          <w:sz w:val="24"/>
        </w:rPr>
        <w:t>pieds;</w:t>
      </w:r>
      <w:r>
        <w:rPr>
          <w:i/>
          <w:spacing w:val="-3"/>
          <w:sz w:val="24"/>
        </w:rPr>
        <w:t> </w:t>
      </w:r>
      <w:r>
        <w:rPr>
          <w:i/>
          <w:sz w:val="24"/>
        </w:rPr>
        <w:t>exfoliants</w:t>
      </w:r>
      <w:r>
        <w:rPr>
          <w:i/>
          <w:spacing w:val="-3"/>
          <w:sz w:val="24"/>
        </w:rPr>
        <w:t> </w:t>
      </w:r>
      <w:r>
        <w:rPr>
          <w:i/>
          <w:sz w:val="24"/>
        </w:rPr>
        <w:t>pour le</w:t>
      </w:r>
      <w:r>
        <w:rPr>
          <w:i/>
          <w:spacing w:val="-2"/>
          <w:sz w:val="24"/>
        </w:rPr>
        <w:t> </w:t>
      </w:r>
      <w:r>
        <w:rPr>
          <w:i/>
          <w:sz w:val="24"/>
        </w:rPr>
        <w:t>visage</w:t>
      </w:r>
      <w:r>
        <w:rPr>
          <w:i/>
          <w:spacing w:val="-2"/>
          <w:sz w:val="24"/>
        </w:rPr>
        <w:t> </w:t>
      </w:r>
      <w:r>
        <w:rPr>
          <w:i/>
          <w:sz w:val="24"/>
        </w:rPr>
        <w:t>autres</w:t>
      </w:r>
      <w:r>
        <w:rPr>
          <w:i/>
          <w:spacing w:val="-3"/>
          <w:sz w:val="24"/>
        </w:rPr>
        <w:t> </w:t>
      </w:r>
      <w:r>
        <w:rPr>
          <w:i/>
          <w:sz w:val="24"/>
        </w:rPr>
        <w:t>qu’à</w:t>
      </w:r>
      <w:r>
        <w:rPr>
          <w:i/>
          <w:spacing w:val="-2"/>
          <w:sz w:val="24"/>
        </w:rPr>
        <w:t> </w:t>
      </w:r>
      <w:r>
        <w:rPr>
          <w:i/>
          <w:sz w:val="24"/>
        </w:rPr>
        <w:t>usage</w:t>
      </w:r>
      <w:r>
        <w:rPr>
          <w:i/>
          <w:spacing w:val="-3"/>
          <w:sz w:val="24"/>
        </w:rPr>
        <w:t> </w:t>
      </w:r>
      <w:r>
        <w:rPr>
          <w:i/>
          <w:sz w:val="24"/>
        </w:rPr>
        <w:t>médical;</w:t>
      </w:r>
      <w:r>
        <w:rPr>
          <w:i/>
          <w:spacing w:val="-1"/>
          <w:sz w:val="24"/>
        </w:rPr>
        <w:t> </w:t>
      </w:r>
      <w:r>
        <w:rPr>
          <w:i/>
          <w:sz w:val="24"/>
        </w:rPr>
        <w:t>exfoliants</w:t>
      </w:r>
      <w:r>
        <w:rPr>
          <w:i/>
          <w:spacing w:val="-3"/>
          <w:sz w:val="24"/>
        </w:rPr>
        <w:t> </w:t>
      </w:r>
      <w:r>
        <w:rPr>
          <w:i/>
          <w:sz w:val="24"/>
        </w:rPr>
        <w:t>pour</w:t>
      </w:r>
      <w:r>
        <w:rPr>
          <w:i/>
          <w:spacing w:val="-3"/>
          <w:sz w:val="24"/>
        </w:rPr>
        <w:t> </w:t>
      </w:r>
      <w:r>
        <w:rPr>
          <w:i/>
          <w:sz w:val="24"/>
        </w:rPr>
        <w:t>le</w:t>
      </w:r>
      <w:r>
        <w:rPr>
          <w:i/>
          <w:spacing w:val="-3"/>
          <w:sz w:val="24"/>
        </w:rPr>
        <w:t> </w:t>
      </w:r>
      <w:r>
        <w:rPr>
          <w:i/>
          <w:sz w:val="24"/>
        </w:rPr>
        <w:t>visage;</w:t>
      </w:r>
      <w:r>
        <w:rPr>
          <w:i/>
          <w:spacing w:val="-3"/>
          <w:sz w:val="24"/>
        </w:rPr>
        <w:t> </w:t>
      </w:r>
      <w:r>
        <w:rPr>
          <w:i/>
          <w:sz w:val="24"/>
        </w:rPr>
        <w:t>produits</w:t>
      </w:r>
      <w:r>
        <w:rPr>
          <w:i/>
          <w:spacing w:val="-3"/>
          <w:sz w:val="24"/>
        </w:rPr>
        <w:t> </w:t>
      </w:r>
      <w:r>
        <w:rPr>
          <w:i/>
          <w:sz w:val="24"/>
        </w:rPr>
        <w:t>de</w:t>
      </w:r>
      <w:r>
        <w:rPr>
          <w:i/>
          <w:spacing w:val="-1"/>
          <w:sz w:val="24"/>
        </w:rPr>
        <w:t> </w:t>
      </w:r>
      <w:r>
        <w:rPr>
          <w:i/>
          <w:sz w:val="24"/>
        </w:rPr>
        <w:t>levage</w:t>
      </w:r>
      <w:r>
        <w:rPr>
          <w:i/>
          <w:spacing w:val="-3"/>
          <w:sz w:val="24"/>
        </w:rPr>
        <w:t> </w:t>
      </w:r>
      <w:r>
        <w:rPr>
          <w:i/>
          <w:sz w:val="24"/>
        </w:rPr>
        <w:t>pour</w:t>
      </w:r>
      <w:r>
        <w:rPr>
          <w:i/>
          <w:spacing w:val="-3"/>
          <w:sz w:val="24"/>
        </w:rPr>
        <w:t> </w:t>
      </w:r>
      <w:r>
        <w:rPr>
          <w:i/>
          <w:sz w:val="24"/>
        </w:rPr>
        <w:t>le corps; préparations de peles pour le visage à usage cosmétique; exfoliants pour le nettoyage</w:t>
      </w:r>
      <w:r>
        <w:rPr>
          <w:i/>
          <w:spacing w:val="-2"/>
          <w:sz w:val="24"/>
        </w:rPr>
        <w:t> </w:t>
      </w:r>
      <w:r>
        <w:rPr>
          <w:i/>
          <w:sz w:val="24"/>
        </w:rPr>
        <w:t>de</w:t>
      </w:r>
      <w:r>
        <w:rPr>
          <w:i/>
          <w:spacing w:val="-2"/>
          <w:sz w:val="24"/>
        </w:rPr>
        <w:t> </w:t>
      </w:r>
      <w:r>
        <w:rPr>
          <w:i/>
          <w:sz w:val="24"/>
        </w:rPr>
        <w:t>la</w:t>
      </w:r>
      <w:r>
        <w:rPr>
          <w:i/>
          <w:spacing w:val="-1"/>
          <w:sz w:val="24"/>
        </w:rPr>
        <w:t> </w:t>
      </w:r>
      <w:r>
        <w:rPr>
          <w:i/>
          <w:sz w:val="24"/>
        </w:rPr>
        <w:t>peau;</w:t>
      </w:r>
      <w:r>
        <w:rPr>
          <w:i/>
          <w:spacing w:val="-2"/>
          <w:sz w:val="24"/>
        </w:rPr>
        <w:t> </w:t>
      </w:r>
      <w:r>
        <w:rPr>
          <w:i/>
          <w:sz w:val="24"/>
        </w:rPr>
        <w:t>crèmes,</w:t>
      </w:r>
      <w:r>
        <w:rPr>
          <w:i/>
          <w:spacing w:val="-1"/>
          <w:sz w:val="24"/>
        </w:rPr>
        <w:t> </w:t>
      </w:r>
      <w:r>
        <w:rPr>
          <w:i/>
          <w:sz w:val="24"/>
        </w:rPr>
        <w:t>lotions</w:t>
      </w:r>
      <w:r>
        <w:rPr>
          <w:i/>
          <w:spacing w:val="-1"/>
          <w:sz w:val="24"/>
        </w:rPr>
        <w:t> </w:t>
      </w:r>
      <w:r>
        <w:rPr>
          <w:i/>
          <w:sz w:val="24"/>
        </w:rPr>
        <w:t>et</w:t>
      </w:r>
      <w:r>
        <w:rPr>
          <w:i/>
          <w:spacing w:val="-1"/>
          <w:sz w:val="24"/>
        </w:rPr>
        <w:t> </w:t>
      </w:r>
      <w:r>
        <w:rPr>
          <w:i/>
          <w:sz w:val="24"/>
        </w:rPr>
        <w:t>gels</w:t>
      </w:r>
      <w:r>
        <w:rPr>
          <w:i/>
          <w:spacing w:val="-3"/>
          <w:sz w:val="24"/>
        </w:rPr>
        <w:t> </w:t>
      </w:r>
      <w:r>
        <w:rPr>
          <w:i/>
          <w:sz w:val="24"/>
        </w:rPr>
        <w:t>hydratants;</w:t>
      </w:r>
      <w:r>
        <w:rPr>
          <w:i/>
          <w:spacing w:val="-1"/>
          <w:sz w:val="24"/>
        </w:rPr>
        <w:t> </w:t>
      </w:r>
      <w:r>
        <w:rPr>
          <w:i/>
          <w:sz w:val="24"/>
        </w:rPr>
        <w:t>cosmétiques</w:t>
      </w:r>
      <w:r>
        <w:rPr>
          <w:i/>
          <w:spacing w:val="-1"/>
          <w:sz w:val="24"/>
        </w:rPr>
        <w:t> </w:t>
      </w:r>
      <w:r>
        <w:rPr>
          <w:i/>
          <w:sz w:val="24"/>
        </w:rPr>
        <w:t>sous</w:t>
      </w:r>
      <w:r>
        <w:rPr>
          <w:i/>
          <w:spacing w:val="-1"/>
          <w:sz w:val="24"/>
        </w:rPr>
        <w:t> </w:t>
      </w:r>
      <w:r>
        <w:rPr>
          <w:i/>
          <w:sz w:val="24"/>
        </w:rPr>
        <w:t>forme</w:t>
      </w:r>
      <w:r>
        <w:rPr>
          <w:i/>
          <w:spacing w:val="-3"/>
          <w:sz w:val="24"/>
        </w:rPr>
        <w:t> </w:t>
      </w:r>
      <w:r>
        <w:rPr>
          <w:i/>
          <w:sz w:val="24"/>
        </w:rPr>
        <w:t>de</w:t>
      </w:r>
      <w:r>
        <w:rPr>
          <w:i/>
          <w:spacing w:val="-2"/>
          <w:sz w:val="24"/>
        </w:rPr>
        <w:t> </w:t>
      </w:r>
      <w:r>
        <w:rPr>
          <w:i/>
          <w:sz w:val="24"/>
        </w:rPr>
        <w:t>gels; après-shampooings; émulsions adoucissantes pour la peau; émulsions pour le visage; sourcils</w:t>
      </w:r>
      <w:r>
        <w:rPr>
          <w:i/>
          <w:spacing w:val="-6"/>
          <w:sz w:val="24"/>
        </w:rPr>
        <w:t> </w:t>
      </w:r>
      <w:r>
        <w:rPr>
          <w:i/>
          <w:sz w:val="24"/>
        </w:rPr>
        <w:t>(cosmétiques</w:t>
      </w:r>
      <w:r>
        <w:rPr>
          <w:i/>
          <w:spacing w:val="-7"/>
          <w:sz w:val="24"/>
        </w:rPr>
        <w:t> </w:t>
      </w:r>
      <w:r>
        <w:rPr>
          <w:i/>
          <w:sz w:val="24"/>
        </w:rPr>
        <w:t>pour</w:t>
      </w:r>
      <w:r>
        <w:rPr>
          <w:i/>
          <w:spacing w:val="-8"/>
          <w:sz w:val="24"/>
        </w:rPr>
        <w:t> </w:t>
      </w:r>
      <w:r>
        <w:rPr>
          <w:i/>
          <w:sz w:val="24"/>
        </w:rPr>
        <w:t>les</w:t>
      </w:r>
      <w:r>
        <w:rPr>
          <w:i/>
          <w:spacing w:val="-8"/>
          <w:sz w:val="24"/>
        </w:rPr>
        <w:t> </w:t>
      </w:r>
      <w:r>
        <w:rPr>
          <w:i/>
          <w:sz w:val="24"/>
        </w:rPr>
        <w:t>-);</w:t>
      </w:r>
      <w:r>
        <w:rPr>
          <w:i/>
          <w:spacing w:val="-8"/>
          <w:sz w:val="24"/>
        </w:rPr>
        <w:t> </w:t>
      </w:r>
      <w:r>
        <w:rPr>
          <w:i/>
          <w:sz w:val="24"/>
        </w:rPr>
        <w:t>cosmétiques</w:t>
      </w:r>
      <w:r>
        <w:rPr>
          <w:i/>
          <w:spacing w:val="-7"/>
          <w:sz w:val="24"/>
        </w:rPr>
        <w:t> </w:t>
      </w:r>
      <w:r>
        <w:rPr>
          <w:i/>
          <w:sz w:val="24"/>
        </w:rPr>
        <w:t>de</w:t>
      </w:r>
      <w:r>
        <w:rPr>
          <w:i/>
          <w:spacing w:val="-6"/>
          <w:sz w:val="24"/>
        </w:rPr>
        <w:t> </w:t>
      </w:r>
      <w:r>
        <w:rPr>
          <w:i/>
          <w:sz w:val="24"/>
        </w:rPr>
        <w:t>couleur;</w:t>
      </w:r>
      <w:r>
        <w:rPr>
          <w:i/>
          <w:spacing w:val="-8"/>
          <w:sz w:val="24"/>
        </w:rPr>
        <w:t> </w:t>
      </w:r>
      <w:r>
        <w:rPr>
          <w:i/>
          <w:sz w:val="24"/>
        </w:rPr>
        <w:t>crèmes</w:t>
      </w:r>
      <w:r>
        <w:rPr>
          <w:i/>
          <w:spacing w:val="-8"/>
          <w:sz w:val="24"/>
        </w:rPr>
        <w:t> </w:t>
      </w:r>
      <w:r>
        <w:rPr>
          <w:i/>
          <w:sz w:val="24"/>
        </w:rPr>
        <w:t>autobronzantes</w:t>
      </w:r>
      <w:r>
        <w:rPr>
          <w:i/>
          <w:spacing w:val="-8"/>
          <w:sz w:val="24"/>
        </w:rPr>
        <w:t> </w:t>
      </w:r>
      <w:r>
        <w:rPr>
          <w:i/>
          <w:sz w:val="24"/>
        </w:rPr>
        <w:t>oublier cosmétiques; lotions et crèmes cosmétiques; cosmétiques colorants pour enfants; tonics légers cossais; crèmes tonifiantes correspondaient à un usage cosmétique; crèmes cosmétiques nourrissantes; cosmétiques pour cils; lotions autobronzantes oublier cosmétiques; poudriers cosmetières; rouges à usage cosmétique; cosmétiques; lotions pour les mains; produits nettoyants pour les mains; poudres pour les mains; agents nettoyants</w:t>
      </w:r>
      <w:r>
        <w:rPr>
          <w:i/>
          <w:spacing w:val="-4"/>
          <w:sz w:val="24"/>
        </w:rPr>
        <w:t> </w:t>
      </w:r>
      <w:r>
        <w:rPr>
          <w:i/>
          <w:sz w:val="24"/>
        </w:rPr>
        <w:t>pour</w:t>
      </w:r>
      <w:r>
        <w:rPr>
          <w:i/>
          <w:spacing w:val="-4"/>
          <w:sz w:val="24"/>
        </w:rPr>
        <w:t> </w:t>
      </w:r>
      <w:r>
        <w:rPr>
          <w:i/>
          <w:sz w:val="24"/>
        </w:rPr>
        <w:t>les</w:t>
      </w:r>
      <w:r>
        <w:rPr>
          <w:i/>
          <w:spacing w:val="-4"/>
          <w:sz w:val="24"/>
        </w:rPr>
        <w:t> </w:t>
      </w:r>
      <w:r>
        <w:rPr>
          <w:i/>
          <w:sz w:val="24"/>
        </w:rPr>
        <w:t>mains;</w:t>
      </w:r>
      <w:r>
        <w:rPr>
          <w:i/>
          <w:spacing w:val="-4"/>
          <w:sz w:val="24"/>
        </w:rPr>
        <w:t> </w:t>
      </w:r>
      <w:r>
        <w:rPr>
          <w:i/>
          <w:sz w:val="24"/>
        </w:rPr>
        <w:t>sérums</w:t>
      </w:r>
      <w:r>
        <w:rPr>
          <w:i/>
          <w:spacing w:val="-4"/>
          <w:sz w:val="24"/>
        </w:rPr>
        <w:t> </w:t>
      </w:r>
      <w:r>
        <w:rPr>
          <w:i/>
          <w:sz w:val="24"/>
        </w:rPr>
        <w:t>de</w:t>
      </w:r>
      <w:r>
        <w:rPr>
          <w:i/>
          <w:spacing w:val="-5"/>
          <w:sz w:val="24"/>
        </w:rPr>
        <w:t> </w:t>
      </w:r>
      <w:r>
        <w:rPr>
          <w:i/>
          <w:sz w:val="24"/>
        </w:rPr>
        <w:t>beauté;</w:t>
      </w:r>
      <w:r>
        <w:rPr>
          <w:i/>
          <w:spacing w:val="-6"/>
          <w:sz w:val="24"/>
        </w:rPr>
        <w:t> </w:t>
      </w:r>
      <w:r>
        <w:rPr>
          <w:i/>
          <w:sz w:val="24"/>
        </w:rPr>
        <w:t>sérums</w:t>
      </w:r>
      <w:r>
        <w:rPr>
          <w:i/>
          <w:spacing w:val="-4"/>
          <w:sz w:val="24"/>
        </w:rPr>
        <w:t> </w:t>
      </w:r>
      <w:r>
        <w:rPr>
          <w:i/>
          <w:sz w:val="24"/>
        </w:rPr>
        <w:t>à</w:t>
      </w:r>
      <w:r>
        <w:rPr>
          <w:i/>
          <w:spacing w:val="-4"/>
          <w:sz w:val="24"/>
        </w:rPr>
        <w:t> </w:t>
      </w:r>
      <w:r>
        <w:rPr>
          <w:i/>
          <w:sz w:val="24"/>
        </w:rPr>
        <w:t>usage</w:t>
      </w:r>
      <w:r>
        <w:rPr>
          <w:i/>
          <w:spacing w:val="-5"/>
          <w:sz w:val="24"/>
        </w:rPr>
        <w:t> </w:t>
      </w:r>
      <w:r>
        <w:rPr>
          <w:i/>
          <w:sz w:val="24"/>
        </w:rPr>
        <w:t>cosmétique;</w:t>
      </w:r>
      <w:r>
        <w:rPr>
          <w:i/>
          <w:spacing w:val="-4"/>
          <w:sz w:val="24"/>
        </w:rPr>
        <w:t> </w:t>
      </w:r>
      <w:r>
        <w:rPr>
          <w:i/>
          <w:sz w:val="24"/>
        </w:rPr>
        <w:t>sérum</w:t>
      </w:r>
      <w:r>
        <w:rPr>
          <w:i/>
          <w:spacing w:val="-4"/>
          <w:sz w:val="24"/>
        </w:rPr>
        <w:t> </w:t>
      </w:r>
      <w:r>
        <w:rPr>
          <w:i/>
          <w:sz w:val="24"/>
        </w:rPr>
        <w:t>anti-âge à usage cosmétique; sérum pour le visage à usage cosmétique; sérum artificiel pour soulager</w:t>
      </w:r>
      <w:r>
        <w:rPr>
          <w:i/>
          <w:spacing w:val="-10"/>
          <w:sz w:val="24"/>
        </w:rPr>
        <w:t> </w:t>
      </w:r>
      <w:r>
        <w:rPr>
          <w:i/>
          <w:sz w:val="24"/>
        </w:rPr>
        <w:t>la</w:t>
      </w:r>
      <w:r>
        <w:rPr>
          <w:i/>
          <w:spacing w:val="-10"/>
          <w:sz w:val="24"/>
        </w:rPr>
        <w:t> </w:t>
      </w:r>
      <w:r>
        <w:rPr>
          <w:i/>
          <w:sz w:val="24"/>
        </w:rPr>
        <w:t>peau;</w:t>
      </w:r>
      <w:r>
        <w:rPr>
          <w:i/>
          <w:spacing w:val="-9"/>
          <w:sz w:val="24"/>
        </w:rPr>
        <w:t> </w:t>
      </w:r>
      <w:r>
        <w:rPr>
          <w:i/>
          <w:sz w:val="24"/>
        </w:rPr>
        <w:t>sérum</w:t>
      </w:r>
      <w:r>
        <w:rPr>
          <w:i/>
          <w:spacing w:val="-9"/>
          <w:sz w:val="24"/>
        </w:rPr>
        <w:t> </w:t>
      </w:r>
      <w:r>
        <w:rPr>
          <w:i/>
          <w:sz w:val="24"/>
        </w:rPr>
        <w:t>calmant</w:t>
      </w:r>
      <w:r>
        <w:rPr>
          <w:i/>
          <w:spacing w:val="-10"/>
          <w:sz w:val="24"/>
        </w:rPr>
        <w:t> </w:t>
      </w:r>
      <w:r>
        <w:rPr>
          <w:i/>
          <w:sz w:val="24"/>
        </w:rPr>
        <w:t>la</w:t>
      </w:r>
      <w:r>
        <w:rPr>
          <w:i/>
          <w:spacing w:val="-10"/>
          <w:sz w:val="24"/>
        </w:rPr>
        <w:t> </w:t>
      </w:r>
      <w:r>
        <w:rPr>
          <w:i/>
          <w:sz w:val="24"/>
        </w:rPr>
        <w:t>peau;</w:t>
      </w:r>
      <w:r>
        <w:rPr>
          <w:i/>
          <w:spacing w:val="-9"/>
          <w:sz w:val="24"/>
        </w:rPr>
        <w:t> </w:t>
      </w:r>
      <w:r>
        <w:rPr>
          <w:i/>
          <w:sz w:val="24"/>
        </w:rPr>
        <w:t>sérums</w:t>
      </w:r>
      <w:r>
        <w:rPr>
          <w:i/>
          <w:spacing w:val="-8"/>
          <w:sz w:val="24"/>
        </w:rPr>
        <w:t> </w:t>
      </w:r>
      <w:r>
        <w:rPr>
          <w:i/>
          <w:sz w:val="24"/>
        </w:rPr>
        <w:t>non</w:t>
      </w:r>
      <w:r>
        <w:rPr>
          <w:i/>
          <w:spacing w:val="-11"/>
          <w:sz w:val="24"/>
        </w:rPr>
        <w:t> </w:t>
      </w:r>
      <w:r>
        <w:rPr>
          <w:i/>
          <w:sz w:val="24"/>
        </w:rPr>
        <w:t>médicinaux</w:t>
      </w:r>
      <w:r>
        <w:rPr>
          <w:i/>
          <w:spacing w:val="-9"/>
          <w:sz w:val="24"/>
        </w:rPr>
        <w:t> </w:t>
      </w:r>
      <w:r>
        <w:rPr>
          <w:i/>
          <w:sz w:val="24"/>
        </w:rPr>
        <w:t>pour</w:t>
      </w:r>
      <w:r>
        <w:rPr>
          <w:i/>
          <w:spacing w:val="-10"/>
          <w:sz w:val="24"/>
        </w:rPr>
        <w:t> </w:t>
      </w:r>
      <w:r>
        <w:rPr>
          <w:i/>
          <w:sz w:val="24"/>
        </w:rPr>
        <w:t>la</w:t>
      </w:r>
      <w:r>
        <w:rPr>
          <w:i/>
          <w:spacing w:val="-10"/>
          <w:sz w:val="24"/>
        </w:rPr>
        <w:t> </w:t>
      </w:r>
      <w:r>
        <w:rPr>
          <w:i/>
          <w:sz w:val="24"/>
        </w:rPr>
        <w:t>peau;</w:t>
      </w:r>
      <w:r>
        <w:rPr>
          <w:i/>
          <w:spacing w:val="-11"/>
          <w:sz w:val="24"/>
        </w:rPr>
        <w:t> </w:t>
      </w:r>
      <w:r>
        <w:rPr>
          <w:i/>
          <w:sz w:val="24"/>
        </w:rPr>
        <w:t>serviettes imprégnées</w:t>
      </w:r>
      <w:r>
        <w:rPr>
          <w:i/>
          <w:spacing w:val="-11"/>
          <w:sz w:val="24"/>
        </w:rPr>
        <w:t> </w:t>
      </w:r>
      <w:r>
        <w:rPr>
          <w:i/>
          <w:sz w:val="24"/>
        </w:rPr>
        <w:t>d’huiles</w:t>
      </w:r>
      <w:r>
        <w:rPr>
          <w:i/>
          <w:spacing w:val="-12"/>
          <w:sz w:val="24"/>
        </w:rPr>
        <w:t> </w:t>
      </w:r>
      <w:r>
        <w:rPr>
          <w:i/>
          <w:sz w:val="24"/>
        </w:rPr>
        <w:t>essentielles</w:t>
      </w:r>
      <w:r>
        <w:rPr>
          <w:i/>
          <w:spacing w:val="-11"/>
          <w:sz w:val="24"/>
        </w:rPr>
        <w:t> </w:t>
      </w:r>
      <w:r>
        <w:rPr>
          <w:i/>
          <w:sz w:val="24"/>
        </w:rPr>
        <w:t>à</w:t>
      </w:r>
      <w:r>
        <w:rPr>
          <w:i/>
          <w:spacing w:val="-12"/>
          <w:sz w:val="24"/>
        </w:rPr>
        <w:t> </w:t>
      </w:r>
      <w:r>
        <w:rPr>
          <w:i/>
          <w:sz w:val="24"/>
        </w:rPr>
        <w:t>usage</w:t>
      </w:r>
      <w:r>
        <w:rPr>
          <w:i/>
          <w:spacing w:val="-12"/>
          <w:sz w:val="24"/>
        </w:rPr>
        <w:t> </w:t>
      </w:r>
      <w:r>
        <w:rPr>
          <w:i/>
          <w:sz w:val="24"/>
        </w:rPr>
        <w:t>cosmétique;</w:t>
      </w:r>
      <w:r>
        <w:rPr>
          <w:i/>
          <w:spacing w:val="-12"/>
          <w:sz w:val="24"/>
        </w:rPr>
        <w:t> </w:t>
      </w:r>
      <w:r>
        <w:rPr>
          <w:i/>
          <w:sz w:val="24"/>
        </w:rPr>
        <w:t>huiles</w:t>
      </w:r>
      <w:r>
        <w:rPr>
          <w:i/>
          <w:spacing w:val="-11"/>
          <w:sz w:val="24"/>
        </w:rPr>
        <w:t> </w:t>
      </w:r>
      <w:r>
        <w:rPr>
          <w:i/>
          <w:sz w:val="24"/>
        </w:rPr>
        <w:t>cosmétiques</w:t>
      </w:r>
      <w:r>
        <w:rPr>
          <w:i/>
          <w:spacing w:val="-11"/>
          <w:sz w:val="24"/>
        </w:rPr>
        <w:t> </w:t>
      </w:r>
      <w:r>
        <w:rPr>
          <w:i/>
          <w:sz w:val="24"/>
        </w:rPr>
        <w:t>pour</w:t>
      </w:r>
      <w:r>
        <w:rPr>
          <w:i/>
          <w:spacing w:val="-11"/>
          <w:sz w:val="24"/>
        </w:rPr>
        <w:t> </w:t>
      </w:r>
      <w:r>
        <w:rPr>
          <w:i/>
          <w:sz w:val="24"/>
        </w:rPr>
        <w:t>l’épiderme; huiles</w:t>
      </w:r>
      <w:r>
        <w:rPr>
          <w:i/>
          <w:spacing w:val="-2"/>
          <w:sz w:val="24"/>
        </w:rPr>
        <w:t> </w:t>
      </w:r>
      <w:r>
        <w:rPr>
          <w:i/>
          <w:sz w:val="24"/>
        </w:rPr>
        <w:t>essentielles;</w:t>
      </w:r>
      <w:r>
        <w:rPr>
          <w:i/>
          <w:spacing w:val="-3"/>
          <w:sz w:val="24"/>
        </w:rPr>
        <w:t> </w:t>
      </w:r>
      <w:r>
        <w:rPr>
          <w:i/>
          <w:sz w:val="24"/>
        </w:rPr>
        <w:t>baignoires;</w:t>
      </w:r>
      <w:r>
        <w:rPr>
          <w:i/>
          <w:spacing w:val="-3"/>
          <w:sz w:val="24"/>
        </w:rPr>
        <w:t> </w:t>
      </w:r>
      <w:r>
        <w:rPr>
          <w:i/>
          <w:sz w:val="24"/>
        </w:rPr>
        <w:t>savon</w:t>
      </w:r>
      <w:r>
        <w:rPr>
          <w:i/>
          <w:spacing w:val="-2"/>
          <w:sz w:val="24"/>
        </w:rPr>
        <w:t> </w:t>
      </w:r>
      <w:r>
        <w:rPr>
          <w:i/>
          <w:sz w:val="24"/>
        </w:rPr>
        <w:t>de</w:t>
      </w:r>
      <w:r>
        <w:rPr>
          <w:i/>
          <w:spacing w:val="-3"/>
          <w:sz w:val="24"/>
        </w:rPr>
        <w:t> </w:t>
      </w:r>
      <w:r>
        <w:rPr>
          <w:i/>
          <w:sz w:val="24"/>
        </w:rPr>
        <w:t>bain</w:t>
      </w:r>
      <w:r>
        <w:rPr>
          <w:i/>
          <w:spacing w:val="-2"/>
          <w:sz w:val="24"/>
        </w:rPr>
        <w:t> </w:t>
      </w:r>
      <w:r>
        <w:rPr>
          <w:i/>
          <w:sz w:val="24"/>
        </w:rPr>
        <w:t>à</w:t>
      </w:r>
      <w:r>
        <w:rPr>
          <w:i/>
          <w:spacing w:val="-2"/>
          <w:sz w:val="24"/>
        </w:rPr>
        <w:t> </w:t>
      </w:r>
      <w:r>
        <w:rPr>
          <w:i/>
          <w:sz w:val="24"/>
        </w:rPr>
        <w:t>usage</w:t>
      </w:r>
      <w:r>
        <w:rPr>
          <w:i/>
          <w:spacing w:val="-3"/>
          <w:sz w:val="24"/>
        </w:rPr>
        <w:t> </w:t>
      </w:r>
      <w:r>
        <w:rPr>
          <w:i/>
          <w:sz w:val="24"/>
        </w:rPr>
        <w:t>cosmétique;</w:t>
      </w:r>
      <w:r>
        <w:rPr>
          <w:i/>
          <w:spacing w:val="-2"/>
          <w:sz w:val="24"/>
        </w:rPr>
        <w:t> </w:t>
      </w:r>
      <w:r>
        <w:rPr>
          <w:i/>
          <w:sz w:val="24"/>
        </w:rPr>
        <w:t>huiles</w:t>
      </w:r>
      <w:r>
        <w:rPr>
          <w:i/>
          <w:spacing w:val="-2"/>
          <w:sz w:val="24"/>
        </w:rPr>
        <w:t> </w:t>
      </w:r>
      <w:r>
        <w:rPr>
          <w:i/>
          <w:sz w:val="24"/>
        </w:rPr>
        <w:t>de</w:t>
      </w:r>
      <w:r>
        <w:rPr>
          <w:i/>
          <w:spacing w:val="-3"/>
          <w:sz w:val="24"/>
        </w:rPr>
        <w:t> </w:t>
      </w:r>
      <w:r>
        <w:rPr>
          <w:i/>
          <w:sz w:val="24"/>
        </w:rPr>
        <w:t>bain</w:t>
      </w:r>
      <w:r>
        <w:rPr>
          <w:i/>
          <w:spacing w:val="-2"/>
          <w:sz w:val="24"/>
        </w:rPr>
        <w:t> </w:t>
      </w:r>
      <w:r>
        <w:rPr>
          <w:i/>
          <w:sz w:val="24"/>
        </w:rPr>
        <w:t>à</w:t>
      </w:r>
      <w:r>
        <w:rPr>
          <w:i/>
          <w:spacing w:val="-2"/>
          <w:sz w:val="24"/>
        </w:rPr>
        <w:t> </w:t>
      </w:r>
      <w:r>
        <w:rPr>
          <w:i/>
          <w:sz w:val="24"/>
        </w:rPr>
        <w:t>usage cosmétique; bain moussant; flocons de bain; splash pour le corps; lotions pour le corps; émulsions pour le corps; paillettes pour le corps; fluides effervescents pour le corps; lotions</w:t>
      </w:r>
      <w:r>
        <w:rPr>
          <w:i/>
          <w:spacing w:val="-8"/>
          <w:sz w:val="24"/>
        </w:rPr>
        <w:t> </w:t>
      </w:r>
      <w:r>
        <w:rPr>
          <w:i/>
          <w:sz w:val="24"/>
        </w:rPr>
        <w:t>parfumées</w:t>
      </w:r>
      <w:r>
        <w:rPr>
          <w:i/>
          <w:spacing w:val="-8"/>
          <w:sz w:val="24"/>
        </w:rPr>
        <w:t> </w:t>
      </w:r>
      <w:r>
        <w:rPr>
          <w:i/>
          <w:sz w:val="24"/>
        </w:rPr>
        <w:t>pour</w:t>
      </w:r>
      <w:r>
        <w:rPr>
          <w:i/>
          <w:spacing w:val="-8"/>
          <w:sz w:val="24"/>
        </w:rPr>
        <w:t> </w:t>
      </w:r>
      <w:r>
        <w:rPr>
          <w:i/>
          <w:sz w:val="24"/>
        </w:rPr>
        <w:t>le</w:t>
      </w:r>
      <w:r>
        <w:rPr>
          <w:i/>
          <w:spacing w:val="-11"/>
          <w:sz w:val="24"/>
        </w:rPr>
        <w:t> </w:t>
      </w:r>
      <w:r>
        <w:rPr>
          <w:i/>
          <w:sz w:val="24"/>
        </w:rPr>
        <w:t>corps;</w:t>
      </w:r>
      <w:r>
        <w:rPr>
          <w:i/>
          <w:spacing w:val="-9"/>
          <w:sz w:val="24"/>
        </w:rPr>
        <w:t> </w:t>
      </w:r>
      <w:r>
        <w:rPr>
          <w:i/>
          <w:sz w:val="24"/>
        </w:rPr>
        <w:t>hydratants</w:t>
      </w:r>
      <w:r>
        <w:rPr>
          <w:i/>
          <w:spacing w:val="-8"/>
          <w:sz w:val="24"/>
        </w:rPr>
        <w:t> </w:t>
      </w:r>
      <w:r>
        <w:rPr>
          <w:i/>
          <w:sz w:val="24"/>
        </w:rPr>
        <w:t>pour</w:t>
      </w:r>
      <w:r>
        <w:rPr>
          <w:i/>
          <w:spacing w:val="-8"/>
          <w:sz w:val="24"/>
        </w:rPr>
        <w:t> </w:t>
      </w:r>
      <w:r>
        <w:rPr>
          <w:i/>
          <w:sz w:val="24"/>
        </w:rPr>
        <w:t>le</w:t>
      </w:r>
      <w:r>
        <w:rPr>
          <w:i/>
          <w:spacing w:val="-9"/>
          <w:sz w:val="24"/>
        </w:rPr>
        <w:t> </w:t>
      </w:r>
      <w:r>
        <w:rPr>
          <w:i/>
          <w:sz w:val="24"/>
        </w:rPr>
        <w:t>corps;</w:t>
      </w:r>
      <w:r>
        <w:rPr>
          <w:i/>
          <w:spacing w:val="-9"/>
          <w:sz w:val="24"/>
        </w:rPr>
        <w:t> </w:t>
      </w:r>
      <w:r>
        <w:rPr>
          <w:i/>
          <w:sz w:val="24"/>
        </w:rPr>
        <w:t>crèmes</w:t>
      </w:r>
      <w:r>
        <w:rPr>
          <w:i/>
          <w:spacing w:val="-8"/>
          <w:sz w:val="24"/>
        </w:rPr>
        <w:t> </w:t>
      </w:r>
      <w:r>
        <w:rPr>
          <w:i/>
          <w:sz w:val="24"/>
        </w:rPr>
        <w:t>pour</w:t>
      </w:r>
      <w:r>
        <w:rPr>
          <w:i/>
          <w:spacing w:val="-8"/>
          <w:sz w:val="24"/>
        </w:rPr>
        <w:t> </w:t>
      </w:r>
      <w:r>
        <w:rPr>
          <w:i/>
          <w:sz w:val="24"/>
        </w:rPr>
        <w:t>les</w:t>
      </w:r>
      <w:r>
        <w:rPr>
          <w:i/>
          <w:spacing w:val="-9"/>
          <w:sz w:val="24"/>
        </w:rPr>
        <w:t> </w:t>
      </w:r>
      <w:r>
        <w:rPr>
          <w:i/>
          <w:sz w:val="24"/>
        </w:rPr>
        <w:t>mains;</w:t>
      </w:r>
      <w:r>
        <w:rPr>
          <w:i/>
          <w:spacing w:val="-9"/>
          <w:sz w:val="24"/>
        </w:rPr>
        <w:t> </w:t>
      </w:r>
      <w:r>
        <w:rPr>
          <w:i/>
          <w:sz w:val="24"/>
        </w:rPr>
        <w:t>crèmes pour les mains à usage cosmétique; lotions pour les mains autres qu’à usage médical; le sérum anti-âge </w:t>
      </w:r>
      <w:r>
        <w:rPr>
          <w:sz w:val="24"/>
        </w:rPr>
        <w:t>relève tous de la catégorie plus large des produits cosmétiques. Les cosmétiques compris dans la classe 3 sont similaires aux </w:t>
      </w:r>
      <w:r>
        <w:rPr>
          <w:i/>
          <w:sz w:val="24"/>
        </w:rPr>
        <w:t>produits de parfumerie </w:t>
      </w:r>
      <w:r>
        <w:rPr>
          <w:sz w:val="24"/>
        </w:rPr>
        <w:t>compris dans la classe 3 étant donné qu’ils ont la même finalité (embellir le corps humain). Leur producteur, leur public pertinent et leurs canaux de distribution sont généralement les mêmes. Ils peuvent également être combinés dans des soins de beauté quotidiens ou hebdomadaires</w:t>
      </w:r>
      <w:r>
        <w:rPr>
          <w:spacing w:val="-13"/>
          <w:sz w:val="24"/>
        </w:rPr>
        <w:t> </w:t>
      </w:r>
      <w:r>
        <w:rPr>
          <w:sz w:val="24"/>
        </w:rPr>
        <w:t>(voir</w:t>
      </w:r>
      <w:r>
        <w:rPr>
          <w:spacing w:val="-14"/>
          <w:sz w:val="24"/>
        </w:rPr>
        <w:t> </w:t>
      </w:r>
      <w:r>
        <w:rPr>
          <w:sz w:val="24"/>
        </w:rPr>
        <w:t>20/11/2024,-482/23,</w:t>
      </w:r>
      <w:r>
        <w:rPr>
          <w:spacing w:val="-13"/>
          <w:sz w:val="24"/>
        </w:rPr>
        <w:t> </w:t>
      </w:r>
      <w:r>
        <w:rPr>
          <w:sz w:val="24"/>
        </w:rPr>
        <w:t>CLEOPATRA/CLEOPATRA,</w:t>
      </w:r>
      <w:r>
        <w:rPr>
          <w:spacing w:val="-13"/>
          <w:sz w:val="24"/>
        </w:rPr>
        <w:t> </w:t>
      </w:r>
      <w:r>
        <w:rPr>
          <w:spacing w:val="-2"/>
          <w:sz w:val="24"/>
        </w:rPr>
        <w:t>EU:T:2024:838,</w:t>
      </w:r>
    </w:p>
    <w:p>
      <w:pPr>
        <w:pStyle w:val="BodyText"/>
        <w:spacing w:before="2"/>
        <w:ind w:left="590"/>
      </w:pPr>
      <w:r>
        <w:rPr>
          <w:spacing w:val="-2"/>
        </w:rPr>
        <w:t>§-</w:t>
      </w:r>
      <w:r>
        <w:rPr>
          <w:spacing w:val="-4"/>
        </w:rPr>
        <w:t>48).</w:t>
      </w:r>
    </w:p>
    <w:p>
      <w:pPr>
        <w:pStyle w:val="ListParagraph"/>
        <w:numPr>
          <w:ilvl w:val="0"/>
          <w:numId w:val="1"/>
        </w:numPr>
        <w:tabs>
          <w:tab w:pos="590" w:val="left" w:leader="none"/>
        </w:tabs>
        <w:spacing w:line="240" w:lineRule="auto" w:before="240" w:after="0"/>
        <w:ind w:left="590" w:right="165" w:hanging="425"/>
        <w:jc w:val="both"/>
        <w:rPr>
          <w:sz w:val="24"/>
        </w:rPr>
      </w:pPr>
      <w:r>
        <w:rPr>
          <w:sz w:val="24"/>
        </w:rPr>
        <w:t>Par conséquent, les </w:t>
      </w:r>
      <w:r>
        <w:rPr>
          <w:i/>
          <w:sz w:val="24"/>
        </w:rPr>
        <w:t>produits de parfumerie </w:t>
      </w:r>
      <w:r>
        <w:rPr>
          <w:sz w:val="24"/>
        </w:rPr>
        <w:t>de l’opposante compris dans la classe 3 présentent un degré moyen de similitude avec l’ensemble des produits contestés.</w:t>
      </w:r>
    </w:p>
    <w:p>
      <w:pPr>
        <w:pStyle w:val="BodyText"/>
        <w:spacing w:before="83"/>
      </w:pPr>
    </w:p>
    <w:p>
      <w:pPr>
        <w:spacing w:before="1"/>
        <w:ind w:left="590" w:right="0" w:firstLine="0"/>
        <w:jc w:val="left"/>
        <w:rPr>
          <w:i/>
          <w:sz w:val="24"/>
        </w:rPr>
      </w:pPr>
      <w:r>
        <w:rPr>
          <w:i/>
          <w:sz w:val="24"/>
        </w:rPr>
        <w:t>Comparaison des </w:t>
      </w:r>
      <w:r>
        <w:rPr>
          <w:i/>
          <w:spacing w:val="-2"/>
          <w:sz w:val="24"/>
        </w:rPr>
        <w:t>marques</w:t>
      </w:r>
    </w:p>
    <w:p>
      <w:pPr>
        <w:pStyle w:val="ListParagraph"/>
        <w:numPr>
          <w:ilvl w:val="0"/>
          <w:numId w:val="1"/>
        </w:numPr>
        <w:tabs>
          <w:tab w:pos="590" w:val="left" w:leader="none"/>
        </w:tabs>
        <w:spacing w:line="240" w:lineRule="auto" w:before="240" w:after="0"/>
        <w:ind w:left="590" w:right="162" w:hanging="425"/>
        <w:jc w:val="both"/>
        <w:rPr>
          <w:sz w:val="24"/>
        </w:rPr>
      </w:pPr>
      <w:r>
        <w:rPr>
          <w:sz w:val="24"/>
        </w:rPr>
        <w:t>Les marques en conflit doivent être comparées sur les plans visuel, phonétique et conceptuel. Cette comparaison doit être fondée sur l’impression d’ensemble produite par les</w:t>
      </w:r>
      <w:r>
        <w:rPr>
          <w:spacing w:val="-14"/>
          <w:sz w:val="24"/>
        </w:rPr>
        <w:t> </w:t>
      </w:r>
      <w:r>
        <w:rPr>
          <w:sz w:val="24"/>
        </w:rPr>
        <w:t>marques,</w:t>
      </w:r>
      <w:r>
        <w:rPr>
          <w:spacing w:val="-14"/>
          <w:sz w:val="24"/>
        </w:rPr>
        <w:t> </w:t>
      </w:r>
      <w:r>
        <w:rPr>
          <w:sz w:val="24"/>
        </w:rPr>
        <w:t>en</w:t>
      </w:r>
      <w:r>
        <w:rPr>
          <w:spacing w:val="-14"/>
          <w:sz w:val="24"/>
        </w:rPr>
        <w:t> </w:t>
      </w:r>
      <w:r>
        <w:rPr>
          <w:sz w:val="24"/>
        </w:rPr>
        <w:t>tenant</w:t>
      </w:r>
      <w:r>
        <w:rPr>
          <w:spacing w:val="-14"/>
          <w:sz w:val="24"/>
        </w:rPr>
        <w:t> </w:t>
      </w:r>
      <w:r>
        <w:rPr>
          <w:sz w:val="24"/>
        </w:rPr>
        <w:t>compte,</w:t>
      </w:r>
      <w:r>
        <w:rPr>
          <w:spacing w:val="-14"/>
          <w:sz w:val="24"/>
        </w:rPr>
        <w:t> </w:t>
      </w:r>
      <w:r>
        <w:rPr>
          <w:sz w:val="24"/>
        </w:rPr>
        <w:t>notamment,</w:t>
      </w:r>
      <w:r>
        <w:rPr>
          <w:spacing w:val="-14"/>
          <w:sz w:val="24"/>
        </w:rPr>
        <w:t> </w:t>
      </w:r>
      <w:r>
        <w:rPr>
          <w:sz w:val="24"/>
        </w:rPr>
        <w:t>des</w:t>
      </w:r>
      <w:r>
        <w:rPr>
          <w:spacing w:val="-14"/>
          <w:sz w:val="24"/>
        </w:rPr>
        <w:t> </w:t>
      </w:r>
      <w:r>
        <w:rPr>
          <w:sz w:val="24"/>
        </w:rPr>
        <w:t>éléments</w:t>
      </w:r>
      <w:r>
        <w:rPr>
          <w:spacing w:val="-13"/>
          <w:sz w:val="24"/>
        </w:rPr>
        <w:t> </w:t>
      </w:r>
      <w:r>
        <w:rPr>
          <w:sz w:val="24"/>
        </w:rPr>
        <w:t>distinctifs</w:t>
      </w:r>
      <w:r>
        <w:rPr>
          <w:spacing w:val="-14"/>
          <w:sz w:val="24"/>
        </w:rPr>
        <w:t> </w:t>
      </w:r>
      <w:r>
        <w:rPr>
          <w:sz w:val="24"/>
        </w:rPr>
        <w:t>et</w:t>
      </w:r>
      <w:r>
        <w:rPr>
          <w:spacing w:val="-14"/>
          <w:sz w:val="24"/>
        </w:rPr>
        <w:t> </w:t>
      </w:r>
      <w:r>
        <w:rPr>
          <w:sz w:val="24"/>
        </w:rPr>
        <w:t>dominants</w:t>
      </w:r>
      <w:r>
        <w:rPr>
          <w:spacing w:val="-13"/>
          <w:sz w:val="24"/>
        </w:rPr>
        <w:t> </w:t>
      </w:r>
      <w:r>
        <w:rPr>
          <w:sz w:val="24"/>
        </w:rPr>
        <w:t>de</w:t>
      </w:r>
      <w:r>
        <w:rPr>
          <w:spacing w:val="-15"/>
          <w:sz w:val="24"/>
        </w:rPr>
        <w:t> </w:t>
      </w:r>
      <w:r>
        <w:rPr>
          <w:sz w:val="24"/>
        </w:rPr>
        <w:t>celles- ci</w:t>
      </w:r>
      <w:r>
        <w:rPr>
          <w:spacing w:val="80"/>
          <w:w w:val="150"/>
          <w:sz w:val="24"/>
        </w:rPr>
        <w:t> </w:t>
      </w:r>
      <w:r>
        <w:rPr>
          <w:sz w:val="24"/>
        </w:rPr>
        <w:t>(11/11/1997,-251/95,</w:t>
      </w:r>
      <w:r>
        <w:rPr>
          <w:spacing w:val="80"/>
          <w:w w:val="150"/>
          <w:sz w:val="24"/>
        </w:rPr>
        <w:t> </w:t>
      </w:r>
      <w:r>
        <w:rPr>
          <w:sz w:val="24"/>
        </w:rPr>
        <w:t>Sabèl,</w:t>
      </w:r>
      <w:r>
        <w:rPr>
          <w:spacing w:val="80"/>
          <w:w w:val="150"/>
          <w:sz w:val="24"/>
        </w:rPr>
        <w:t> </w:t>
      </w:r>
      <w:r>
        <w:rPr>
          <w:sz w:val="24"/>
        </w:rPr>
        <w:t>EU:C:1997:528,</w:t>
      </w:r>
      <w:r>
        <w:rPr>
          <w:spacing w:val="80"/>
          <w:w w:val="150"/>
          <w:sz w:val="24"/>
        </w:rPr>
        <w:t> </w:t>
      </w:r>
      <w:r>
        <w:rPr>
          <w:sz w:val="24"/>
        </w:rPr>
        <w:t>§</w:t>
      </w:r>
      <w:r>
        <w:rPr>
          <w:spacing w:val="80"/>
          <w:w w:val="150"/>
          <w:sz w:val="24"/>
        </w:rPr>
        <w:t> </w:t>
      </w:r>
      <w:r>
        <w:rPr>
          <w:sz w:val="24"/>
        </w:rPr>
        <w:t>23;</w:t>
      </w:r>
      <w:r>
        <w:rPr>
          <w:spacing w:val="80"/>
          <w:w w:val="150"/>
          <w:sz w:val="24"/>
        </w:rPr>
        <w:t> </w:t>
      </w:r>
      <w:r>
        <w:rPr>
          <w:sz w:val="24"/>
        </w:rPr>
        <w:t>22/06/1999,-342/97,</w:t>
      </w:r>
      <w:r>
        <w:rPr>
          <w:spacing w:val="80"/>
          <w:w w:val="150"/>
          <w:sz w:val="24"/>
        </w:rPr>
        <w:t> </w:t>
      </w:r>
      <w:r>
        <w:rPr>
          <w:sz w:val="24"/>
        </w:rPr>
        <w:t>Lloyd</w:t>
      </w:r>
    </w:p>
    <w:p>
      <w:pPr>
        <w:pStyle w:val="BodyText"/>
        <w:ind w:left="590"/>
        <w:jc w:val="both"/>
      </w:pPr>
      <w:r>
        <w:rPr/>
        <w:t>Schuhfabrik,</w:t>
      </w:r>
      <w:r>
        <w:rPr>
          <w:spacing w:val="-7"/>
        </w:rPr>
        <w:t> </w:t>
      </w:r>
      <w:r>
        <w:rPr/>
        <w:t>EU:C:1999:323,</w:t>
      </w:r>
      <w:r>
        <w:rPr>
          <w:spacing w:val="-4"/>
        </w:rPr>
        <w:t> </w:t>
      </w:r>
      <w:r>
        <w:rPr/>
        <w:t>§</w:t>
      </w:r>
      <w:r>
        <w:rPr>
          <w:spacing w:val="-5"/>
        </w:rPr>
        <w:t> </w:t>
      </w:r>
      <w:r>
        <w:rPr/>
        <w:t>25;</w:t>
      </w:r>
      <w:r>
        <w:rPr>
          <w:spacing w:val="-4"/>
        </w:rPr>
        <w:t> </w:t>
      </w:r>
      <w:r>
        <w:rPr/>
        <w:t>06/10/2005,</w:t>
      </w:r>
      <w:r>
        <w:rPr>
          <w:spacing w:val="-6"/>
        </w:rPr>
        <w:t> </w:t>
      </w:r>
      <w:r>
        <w:rPr/>
        <w:t>120/04-,</w:t>
      </w:r>
      <w:r>
        <w:rPr>
          <w:spacing w:val="-4"/>
        </w:rPr>
        <w:t> </w:t>
      </w:r>
      <w:r>
        <w:rPr/>
        <w:t>Thomson</w:t>
      </w:r>
      <w:r>
        <w:rPr>
          <w:spacing w:val="-4"/>
        </w:rPr>
        <w:t> </w:t>
      </w:r>
      <w:r>
        <w:rPr/>
        <w:t>Life,</w:t>
      </w:r>
      <w:r>
        <w:rPr>
          <w:spacing w:val="-4"/>
        </w:rPr>
        <w:t> </w:t>
      </w:r>
      <w:r>
        <w:rPr>
          <w:spacing w:val="-2"/>
        </w:rPr>
        <w:t>EU:C:2005:594,</w:t>
      </w:r>
    </w:p>
    <w:p>
      <w:pPr>
        <w:pStyle w:val="BodyText"/>
        <w:ind w:left="590"/>
        <w:jc w:val="both"/>
      </w:pPr>
      <w:r>
        <w:rPr/>
        <w:t>§ </w:t>
      </w:r>
      <w:r>
        <w:rPr>
          <w:spacing w:val="-4"/>
        </w:rPr>
        <w:t>28).</w:t>
      </w:r>
    </w:p>
    <w:p>
      <w:pPr>
        <w:pStyle w:val="ListParagraph"/>
        <w:numPr>
          <w:ilvl w:val="0"/>
          <w:numId w:val="1"/>
        </w:numPr>
        <w:tabs>
          <w:tab w:pos="590" w:val="left" w:leader="none"/>
        </w:tabs>
        <w:spacing w:line="240" w:lineRule="auto" w:before="240" w:after="0"/>
        <w:ind w:left="590" w:right="162" w:hanging="425"/>
        <w:jc w:val="both"/>
        <w:rPr>
          <w:sz w:val="24"/>
        </w:rPr>
      </w:pPr>
      <w:r>
        <w:rPr>
          <w:sz w:val="24"/>
        </w:rPr>
        <w:t>La perception des marques qu’a le consommateur moyen des produits et des services en cause joue un rôle déterminant dans l’appréciation globale dudit risque. À cet égard, le consommateur moyen perçoit normalement une marque comme un tout et ne se livre pas à un examen de ses différents détails &amp;bra; 12/06/2007, C-334/05 P, Limoncello della Costiera</w:t>
      </w:r>
      <w:r>
        <w:rPr>
          <w:spacing w:val="-6"/>
          <w:sz w:val="24"/>
        </w:rPr>
        <w:t> </w:t>
      </w:r>
      <w:r>
        <w:rPr>
          <w:sz w:val="24"/>
        </w:rPr>
        <w:t>Amalfitana</w:t>
      </w:r>
      <w:r>
        <w:rPr>
          <w:spacing w:val="-6"/>
          <w:sz w:val="24"/>
        </w:rPr>
        <w:t> </w:t>
      </w:r>
      <w:r>
        <w:rPr>
          <w:sz w:val="24"/>
        </w:rPr>
        <w:t>shaker</w:t>
      </w:r>
      <w:r>
        <w:rPr>
          <w:spacing w:val="-5"/>
          <w:sz w:val="24"/>
        </w:rPr>
        <w:t> </w:t>
      </w:r>
      <w:r>
        <w:rPr>
          <w:sz w:val="24"/>
        </w:rPr>
        <w:t>(fig.)/LIMONCHELO,</w:t>
      </w:r>
      <w:r>
        <w:rPr>
          <w:spacing w:val="-4"/>
          <w:sz w:val="24"/>
        </w:rPr>
        <w:t> </w:t>
      </w:r>
      <w:r>
        <w:rPr>
          <w:sz w:val="24"/>
        </w:rPr>
        <w:t>EU:C:2007:333,</w:t>
      </w:r>
      <w:r>
        <w:rPr>
          <w:spacing w:val="-5"/>
          <w:sz w:val="24"/>
        </w:rPr>
        <w:t> </w:t>
      </w:r>
      <w:r>
        <w:rPr>
          <w:sz w:val="24"/>
        </w:rPr>
        <w:t>§</w:t>
      </w:r>
      <w:r>
        <w:rPr>
          <w:spacing w:val="-5"/>
          <w:sz w:val="24"/>
        </w:rPr>
        <w:t> </w:t>
      </w:r>
      <w:r>
        <w:rPr>
          <w:sz w:val="24"/>
        </w:rPr>
        <w:t>35</w:t>
      </w:r>
      <w:r>
        <w:rPr>
          <w:spacing w:val="-5"/>
          <w:sz w:val="24"/>
        </w:rPr>
        <w:t> </w:t>
      </w:r>
      <w:r>
        <w:rPr>
          <w:sz w:val="24"/>
        </w:rPr>
        <w:t>et</w:t>
      </w:r>
      <w:r>
        <w:rPr>
          <w:spacing w:val="-6"/>
          <w:sz w:val="24"/>
        </w:rPr>
        <w:t> </w:t>
      </w:r>
      <w:r>
        <w:rPr>
          <w:sz w:val="24"/>
        </w:rPr>
        <w:t>jurisprudence citée; 25/10/2023, T-458/21, Q (fig.)/Q (fig.), EU:T:2023:671, § 26).</w:t>
      </w:r>
    </w:p>
    <w:p>
      <w:pPr>
        <w:pStyle w:val="ListParagraph"/>
        <w:numPr>
          <w:ilvl w:val="0"/>
          <w:numId w:val="1"/>
        </w:numPr>
        <w:tabs>
          <w:tab w:pos="590" w:val="left" w:leader="none"/>
        </w:tabs>
        <w:spacing w:line="240" w:lineRule="auto" w:before="241" w:after="0"/>
        <w:ind w:left="590" w:right="160" w:hanging="425"/>
        <w:jc w:val="both"/>
        <w:rPr>
          <w:sz w:val="24"/>
        </w:rPr>
      </w:pPr>
      <w:r>
        <w:rPr>
          <w:sz w:val="24"/>
        </w:rPr>
        <w:t>Bien que la comparaison doive être fondée sur l’impression d’ensemble produite par les signes</w:t>
      </w:r>
      <w:r>
        <w:rPr>
          <w:spacing w:val="23"/>
          <w:sz w:val="24"/>
        </w:rPr>
        <w:t> </w:t>
      </w:r>
      <w:r>
        <w:rPr>
          <w:sz w:val="24"/>
        </w:rPr>
        <w:t>sur</w:t>
      </w:r>
      <w:r>
        <w:rPr>
          <w:spacing w:val="22"/>
          <w:sz w:val="24"/>
        </w:rPr>
        <w:t> </w:t>
      </w:r>
      <w:r>
        <w:rPr>
          <w:sz w:val="24"/>
        </w:rPr>
        <w:t>le</w:t>
      </w:r>
      <w:r>
        <w:rPr>
          <w:spacing w:val="22"/>
          <w:sz w:val="24"/>
        </w:rPr>
        <w:t> </w:t>
      </w:r>
      <w:r>
        <w:rPr>
          <w:sz w:val="24"/>
        </w:rPr>
        <w:t>public</w:t>
      </w:r>
      <w:r>
        <w:rPr>
          <w:spacing w:val="22"/>
          <w:sz w:val="24"/>
        </w:rPr>
        <w:t> </w:t>
      </w:r>
      <w:r>
        <w:rPr>
          <w:sz w:val="24"/>
        </w:rPr>
        <w:t>pertinent,</w:t>
      </w:r>
      <w:r>
        <w:rPr>
          <w:spacing w:val="23"/>
          <w:sz w:val="24"/>
        </w:rPr>
        <w:t> </w:t>
      </w:r>
      <w:r>
        <w:rPr>
          <w:sz w:val="24"/>
        </w:rPr>
        <w:t>il</w:t>
      </w:r>
      <w:r>
        <w:rPr>
          <w:spacing w:val="23"/>
          <w:sz w:val="24"/>
        </w:rPr>
        <w:t> </w:t>
      </w:r>
      <w:r>
        <w:rPr>
          <w:sz w:val="24"/>
        </w:rPr>
        <w:t>convient</w:t>
      </w:r>
      <w:r>
        <w:rPr>
          <w:spacing w:val="23"/>
          <w:sz w:val="24"/>
        </w:rPr>
        <w:t> </w:t>
      </w:r>
      <w:r>
        <w:rPr>
          <w:sz w:val="24"/>
        </w:rPr>
        <w:t>néanmoins</w:t>
      </w:r>
      <w:r>
        <w:rPr>
          <w:spacing w:val="23"/>
          <w:sz w:val="24"/>
        </w:rPr>
        <w:t> </w:t>
      </w:r>
      <w:r>
        <w:rPr>
          <w:sz w:val="24"/>
        </w:rPr>
        <w:t>de</w:t>
      </w:r>
      <w:r>
        <w:rPr>
          <w:spacing w:val="22"/>
          <w:sz w:val="24"/>
        </w:rPr>
        <w:t> </w:t>
      </w:r>
      <w:r>
        <w:rPr>
          <w:sz w:val="24"/>
        </w:rPr>
        <w:t>prendre</w:t>
      </w:r>
      <w:r>
        <w:rPr>
          <w:spacing w:val="21"/>
          <w:sz w:val="24"/>
        </w:rPr>
        <w:t> </w:t>
      </w:r>
      <w:r>
        <w:rPr>
          <w:sz w:val="24"/>
        </w:rPr>
        <w:t>en</w:t>
      </w:r>
      <w:r>
        <w:rPr>
          <w:spacing w:val="25"/>
          <w:sz w:val="24"/>
        </w:rPr>
        <w:t> </w:t>
      </w:r>
      <w:r>
        <w:rPr>
          <w:sz w:val="24"/>
        </w:rPr>
        <w:t>compte</w:t>
      </w:r>
      <w:r>
        <w:rPr>
          <w:spacing w:val="22"/>
          <w:sz w:val="24"/>
        </w:rPr>
        <w:t> </w:t>
      </w:r>
      <w:r>
        <w:rPr>
          <w:sz w:val="24"/>
        </w:rPr>
        <w:t>les</w:t>
      </w:r>
      <w:r>
        <w:rPr>
          <w:spacing w:val="22"/>
          <w:sz w:val="24"/>
        </w:rPr>
        <w:t> </w:t>
      </w:r>
      <w:r>
        <w:rPr>
          <w:sz w:val="24"/>
        </w:rPr>
        <w:t>qualités</w:t>
      </w:r>
    </w:p>
    <w:p>
      <w:pPr>
        <w:pStyle w:val="BodyText"/>
        <w:rPr>
          <w:sz w:val="18"/>
        </w:rPr>
      </w:pPr>
    </w:p>
    <w:p>
      <w:pPr>
        <w:pStyle w:val="BodyText"/>
        <w:spacing w:before="199"/>
        <w:rPr>
          <w:sz w:val="18"/>
        </w:rPr>
      </w:pPr>
    </w:p>
    <w:p>
      <w:pPr>
        <w:spacing w:before="0"/>
        <w:ind w:left="2737" w:right="2738" w:firstLine="0"/>
        <w:jc w:val="center"/>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p>
      <w:pPr>
        <w:spacing w:after="0"/>
        <w:jc w:val="center"/>
        <w:rPr>
          <w:sz w:val="18"/>
        </w:rPr>
        <w:sectPr>
          <w:pgSz w:w="11910" w:h="16840"/>
          <w:pgMar w:header="970" w:footer="0" w:top="1180" w:bottom="280" w:left="1275" w:right="1275"/>
        </w:sectPr>
      </w:pPr>
    </w:p>
    <w:p>
      <w:pPr>
        <w:pStyle w:val="BodyText"/>
        <w:spacing w:before="249"/>
        <w:ind w:left="590" w:right="165"/>
        <w:jc w:val="both"/>
      </w:pPr>
      <w:r>
        <w:rPr/>
        <mc:AlternateContent>
          <mc:Choice Requires="wps">
            <w:drawing>
              <wp:anchor distT="0" distB="0" distL="0" distR="0" allowOverlap="1" layoutInCell="1" locked="0" behindDoc="0" simplePos="0" relativeHeight="15746048">
                <wp:simplePos x="0" y="0"/>
                <wp:positionH relativeFrom="page">
                  <wp:posOffset>270575</wp:posOffset>
                </wp:positionH>
                <wp:positionV relativeFrom="page">
                  <wp:posOffset>1114363</wp:posOffset>
                </wp:positionV>
                <wp:extent cx="146050" cy="921004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146050" cy="9210040"/>
                        </a:xfrm>
                        <a:prstGeom prst="rect">
                          <a:avLst/>
                        </a:prstGeom>
                      </wps:spPr>
                      <wps:txbx>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wps:txbx>
                      <wps:bodyPr wrap="square" lIns="0" tIns="0" rIns="0" bIns="0" rtlCol="0" vert="vert270">
                        <a:noAutofit/>
                      </wps:bodyPr>
                    </wps:wsp>
                  </a:graphicData>
                </a:graphic>
              </wp:anchor>
            </w:drawing>
          </mc:Choice>
          <mc:Fallback>
            <w:pict>
              <v:shape style="position:absolute;margin-left:21.305176pt;margin-top:87.745193pt;width:11.5pt;height:725.2pt;mso-position-horizontal-relative:page;mso-position-vertical-relative:page;z-index:15746048" type="#_x0000_t202" id="docshape27" filled="false" stroked="false">
                <v:textbox inset="0,0,0,0" style="layout-flow:vertical;mso-layout-flow-alt:bottom-to-top">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v:textbox>
                <w10:wrap type="none"/>
              </v:shape>
            </w:pict>
          </mc:Fallback>
        </mc:AlternateContent>
      </w:r>
      <w:r>
        <w:rPr/>
        <w:t>intrinsèques des signes en cause &amp;bra; 04/03/2020, 328/18-P, BLACK LABEL BY EQUIVALENZA (fig.)/LABELL (fig.) et al., EU:C:2020:156, § 71 &amp;ket;.</w:t>
      </w:r>
    </w:p>
    <w:p>
      <w:pPr>
        <w:pStyle w:val="ListParagraph"/>
        <w:numPr>
          <w:ilvl w:val="0"/>
          <w:numId w:val="1"/>
        </w:numPr>
        <w:tabs>
          <w:tab w:pos="590" w:val="left" w:leader="none"/>
        </w:tabs>
        <w:spacing w:line="240" w:lineRule="auto" w:before="240" w:after="0"/>
        <w:ind w:left="590" w:right="162" w:hanging="425"/>
        <w:jc w:val="both"/>
        <w:rPr>
          <w:sz w:val="24"/>
        </w:rPr>
      </w:pPr>
      <w:r>
        <w:rPr>
          <w:sz w:val="24"/>
        </w:rPr>
        <w:t>Aux</w:t>
      </w:r>
      <w:r>
        <w:rPr>
          <w:spacing w:val="-7"/>
          <w:sz w:val="24"/>
        </w:rPr>
        <w:t> </w:t>
      </w:r>
      <w:r>
        <w:rPr>
          <w:sz w:val="24"/>
        </w:rPr>
        <w:t>fins</w:t>
      </w:r>
      <w:r>
        <w:rPr>
          <w:spacing w:val="-11"/>
          <w:sz w:val="24"/>
        </w:rPr>
        <w:t> </w:t>
      </w:r>
      <w:r>
        <w:rPr>
          <w:sz w:val="24"/>
        </w:rPr>
        <w:t>d’apprécier</w:t>
      </w:r>
      <w:r>
        <w:rPr>
          <w:spacing w:val="-9"/>
          <w:sz w:val="24"/>
        </w:rPr>
        <w:t> </w:t>
      </w:r>
      <w:r>
        <w:rPr>
          <w:sz w:val="24"/>
        </w:rPr>
        <w:t>le</w:t>
      </w:r>
      <w:r>
        <w:rPr>
          <w:spacing w:val="-9"/>
          <w:sz w:val="24"/>
        </w:rPr>
        <w:t> </w:t>
      </w:r>
      <w:r>
        <w:rPr>
          <w:sz w:val="24"/>
        </w:rPr>
        <w:t>caractère</w:t>
      </w:r>
      <w:r>
        <w:rPr>
          <w:spacing w:val="-10"/>
          <w:sz w:val="24"/>
        </w:rPr>
        <w:t> </w:t>
      </w:r>
      <w:r>
        <w:rPr>
          <w:sz w:val="24"/>
        </w:rPr>
        <w:t>distinctif</w:t>
      </w:r>
      <w:r>
        <w:rPr>
          <w:spacing w:val="-9"/>
          <w:sz w:val="24"/>
        </w:rPr>
        <w:t> </w:t>
      </w:r>
      <w:r>
        <w:rPr>
          <w:sz w:val="24"/>
        </w:rPr>
        <w:t>d’un</w:t>
      </w:r>
      <w:r>
        <w:rPr>
          <w:spacing w:val="-9"/>
          <w:sz w:val="24"/>
        </w:rPr>
        <w:t> </w:t>
      </w:r>
      <w:r>
        <w:rPr>
          <w:sz w:val="24"/>
        </w:rPr>
        <w:t>élément</w:t>
      </w:r>
      <w:r>
        <w:rPr>
          <w:spacing w:val="-8"/>
          <w:sz w:val="24"/>
        </w:rPr>
        <w:t> </w:t>
      </w:r>
      <w:r>
        <w:rPr>
          <w:sz w:val="24"/>
        </w:rPr>
        <w:t>composant</w:t>
      </w:r>
      <w:r>
        <w:rPr>
          <w:spacing w:val="-8"/>
          <w:sz w:val="24"/>
        </w:rPr>
        <w:t> </w:t>
      </w:r>
      <w:r>
        <w:rPr>
          <w:sz w:val="24"/>
        </w:rPr>
        <w:t>une</w:t>
      </w:r>
      <w:r>
        <w:rPr>
          <w:spacing w:val="-9"/>
          <w:sz w:val="24"/>
        </w:rPr>
        <w:t> </w:t>
      </w:r>
      <w:r>
        <w:rPr>
          <w:sz w:val="24"/>
        </w:rPr>
        <w:t>marque,</w:t>
      </w:r>
      <w:r>
        <w:rPr>
          <w:spacing w:val="-8"/>
          <w:sz w:val="24"/>
        </w:rPr>
        <w:t> </w:t>
      </w:r>
      <w:r>
        <w:rPr>
          <w:sz w:val="24"/>
        </w:rPr>
        <w:t>il</w:t>
      </w:r>
      <w:r>
        <w:rPr>
          <w:spacing w:val="-5"/>
          <w:sz w:val="24"/>
        </w:rPr>
        <w:t> </w:t>
      </w:r>
      <w:r>
        <w:rPr>
          <w:sz w:val="24"/>
        </w:rPr>
        <w:t>y</w:t>
      </w:r>
      <w:r>
        <w:rPr>
          <w:spacing w:val="-14"/>
          <w:sz w:val="24"/>
        </w:rPr>
        <w:t> </w:t>
      </w:r>
      <w:r>
        <w:rPr>
          <w:sz w:val="24"/>
        </w:rPr>
        <w:t>a</w:t>
      </w:r>
      <w:r>
        <w:rPr>
          <w:spacing w:val="-9"/>
          <w:sz w:val="24"/>
        </w:rPr>
        <w:t> </w:t>
      </w:r>
      <w:r>
        <w:rPr>
          <w:sz w:val="24"/>
        </w:rPr>
        <w:t>lieu d’examiner l’aptitude plus ou moins grande de cet élément à contribuer à identifier les produits</w:t>
      </w:r>
      <w:r>
        <w:rPr>
          <w:spacing w:val="-13"/>
          <w:sz w:val="24"/>
        </w:rPr>
        <w:t> </w:t>
      </w:r>
      <w:r>
        <w:rPr>
          <w:sz w:val="24"/>
        </w:rPr>
        <w:t>ou</w:t>
      </w:r>
      <w:r>
        <w:rPr>
          <w:spacing w:val="-13"/>
          <w:sz w:val="24"/>
        </w:rPr>
        <w:t> </w:t>
      </w:r>
      <w:r>
        <w:rPr>
          <w:sz w:val="24"/>
        </w:rPr>
        <w:t>services</w:t>
      </w:r>
      <w:r>
        <w:rPr>
          <w:spacing w:val="-13"/>
          <w:sz w:val="24"/>
        </w:rPr>
        <w:t> </w:t>
      </w:r>
      <w:r>
        <w:rPr>
          <w:sz w:val="24"/>
        </w:rPr>
        <w:t>comme</w:t>
      </w:r>
      <w:r>
        <w:rPr>
          <w:spacing w:val="-14"/>
          <w:sz w:val="24"/>
        </w:rPr>
        <w:t> </w:t>
      </w:r>
      <w:r>
        <w:rPr>
          <w:sz w:val="24"/>
        </w:rPr>
        <w:t>provenant</w:t>
      </w:r>
      <w:r>
        <w:rPr>
          <w:spacing w:val="-13"/>
          <w:sz w:val="24"/>
        </w:rPr>
        <w:t> </w:t>
      </w:r>
      <w:r>
        <w:rPr>
          <w:sz w:val="24"/>
        </w:rPr>
        <w:t>d’une</w:t>
      </w:r>
      <w:r>
        <w:rPr>
          <w:spacing w:val="-14"/>
          <w:sz w:val="24"/>
        </w:rPr>
        <w:t> </w:t>
      </w:r>
      <w:r>
        <w:rPr>
          <w:sz w:val="24"/>
        </w:rPr>
        <w:t>entreprise</w:t>
      </w:r>
      <w:r>
        <w:rPr>
          <w:spacing w:val="-14"/>
          <w:sz w:val="24"/>
        </w:rPr>
        <w:t> </w:t>
      </w:r>
      <w:r>
        <w:rPr>
          <w:sz w:val="24"/>
        </w:rPr>
        <w:t>déterminée</w:t>
      </w:r>
      <w:r>
        <w:rPr>
          <w:spacing w:val="-14"/>
          <w:sz w:val="24"/>
        </w:rPr>
        <w:t> </w:t>
      </w:r>
      <w:r>
        <w:rPr>
          <w:sz w:val="24"/>
        </w:rPr>
        <w:t>et</w:t>
      </w:r>
      <w:r>
        <w:rPr>
          <w:spacing w:val="-13"/>
          <w:sz w:val="24"/>
        </w:rPr>
        <w:t> </w:t>
      </w:r>
      <w:r>
        <w:rPr>
          <w:sz w:val="24"/>
        </w:rPr>
        <w:t>donc</w:t>
      </w:r>
      <w:r>
        <w:rPr>
          <w:spacing w:val="-12"/>
          <w:sz w:val="24"/>
        </w:rPr>
        <w:t> </w:t>
      </w:r>
      <w:r>
        <w:rPr>
          <w:sz w:val="24"/>
        </w:rPr>
        <w:t>à</w:t>
      </w:r>
      <w:r>
        <w:rPr>
          <w:spacing w:val="-14"/>
          <w:sz w:val="24"/>
        </w:rPr>
        <w:t> </w:t>
      </w:r>
      <w:r>
        <w:rPr>
          <w:sz w:val="24"/>
        </w:rPr>
        <w:t>les</w:t>
      </w:r>
      <w:r>
        <w:rPr>
          <w:spacing w:val="-13"/>
          <w:sz w:val="24"/>
        </w:rPr>
        <w:t> </w:t>
      </w:r>
      <w:r>
        <w:rPr>
          <w:sz w:val="24"/>
        </w:rPr>
        <w:t>distinguer de ceux d’autres entreprises. Lors de cette appréciation, il convient de prendre en considération notamment les qualités intrinsèques de l’élément en cause et de vérifier si celui-ci</w:t>
      </w:r>
      <w:r>
        <w:rPr>
          <w:spacing w:val="-4"/>
          <w:sz w:val="24"/>
        </w:rPr>
        <w:t> </w:t>
      </w:r>
      <w:r>
        <w:rPr>
          <w:sz w:val="24"/>
        </w:rPr>
        <w:t>est</w:t>
      </w:r>
      <w:r>
        <w:rPr>
          <w:spacing w:val="-4"/>
          <w:sz w:val="24"/>
        </w:rPr>
        <w:t> </w:t>
      </w:r>
      <w:r>
        <w:rPr>
          <w:sz w:val="24"/>
        </w:rPr>
        <w:t>ou</w:t>
      </w:r>
      <w:r>
        <w:rPr>
          <w:spacing w:val="-3"/>
          <w:sz w:val="24"/>
        </w:rPr>
        <w:t> </w:t>
      </w:r>
      <w:r>
        <w:rPr>
          <w:sz w:val="24"/>
        </w:rPr>
        <w:t>non</w:t>
      </w:r>
      <w:r>
        <w:rPr>
          <w:spacing w:val="-5"/>
          <w:sz w:val="24"/>
        </w:rPr>
        <w:t> </w:t>
      </w:r>
      <w:r>
        <w:rPr>
          <w:sz w:val="24"/>
        </w:rPr>
        <w:t>dénué</w:t>
      </w:r>
      <w:r>
        <w:rPr>
          <w:spacing w:val="-3"/>
          <w:sz w:val="24"/>
        </w:rPr>
        <w:t> </w:t>
      </w:r>
      <w:r>
        <w:rPr>
          <w:sz w:val="24"/>
        </w:rPr>
        <w:t>de</w:t>
      </w:r>
      <w:r>
        <w:rPr>
          <w:spacing w:val="-6"/>
          <w:sz w:val="24"/>
        </w:rPr>
        <w:t> </w:t>
      </w:r>
      <w:r>
        <w:rPr>
          <w:sz w:val="24"/>
        </w:rPr>
        <w:t>tout</w:t>
      </w:r>
      <w:r>
        <w:rPr>
          <w:spacing w:val="-4"/>
          <w:sz w:val="24"/>
        </w:rPr>
        <w:t> </w:t>
      </w:r>
      <w:r>
        <w:rPr>
          <w:sz w:val="24"/>
        </w:rPr>
        <w:t>caractère</w:t>
      </w:r>
      <w:r>
        <w:rPr>
          <w:spacing w:val="-7"/>
          <w:sz w:val="24"/>
        </w:rPr>
        <w:t> </w:t>
      </w:r>
      <w:r>
        <w:rPr>
          <w:sz w:val="24"/>
        </w:rPr>
        <w:t>descriptif</w:t>
      </w:r>
      <w:r>
        <w:rPr>
          <w:spacing w:val="-2"/>
          <w:sz w:val="24"/>
        </w:rPr>
        <w:t> </w:t>
      </w:r>
      <w:r>
        <w:rPr>
          <w:sz w:val="24"/>
        </w:rPr>
        <w:t>des</w:t>
      </w:r>
      <w:r>
        <w:rPr>
          <w:spacing w:val="-5"/>
          <w:sz w:val="24"/>
        </w:rPr>
        <w:t> </w:t>
      </w:r>
      <w:r>
        <w:rPr>
          <w:sz w:val="24"/>
        </w:rPr>
        <w:t>produits</w:t>
      </w:r>
      <w:r>
        <w:rPr>
          <w:spacing w:val="-5"/>
          <w:sz w:val="24"/>
        </w:rPr>
        <w:t> </w:t>
      </w:r>
      <w:r>
        <w:rPr>
          <w:sz w:val="24"/>
        </w:rPr>
        <w:t>ou</w:t>
      </w:r>
      <w:r>
        <w:rPr>
          <w:spacing w:val="-5"/>
          <w:sz w:val="24"/>
        </w:rPr>
        <w:t> </w:t>
      </w:r>
      <w:r>
        <w:rPr>
          <w:sz w:val="24"/>
        </w:rPr>
        <w:t>des</w:t>
      </w:r>
      <w:r>
        <w:rPr>
          <w:spacing w:val="-5"/>
          <w:sz w:val="24"/>
        </w:rPr>
        <w:t> </w:t>
      </w:r>
      <w:r>
        <w:rPr>
          <w:sz w:val="24"/>
        </w:rPr>
        <w:t>services</w:t>
      </w:r>
      <w:r>
        <w:rPr>
          <w:spacing w:val="-5"/>
          <w:sz w:val="24"/>
        </w:rPr>
        <w:t> </w:t>
      </w:r>
      <w:r>
        <w:rPr>
          <w:sz w:val="24"/>
        </w:rPr>
        <w:t>en</w:t>
      </w:r>
      <w:r>
        <w:rPr>
          <w:spacing w:val="-2"/>
          <w:sz w:val="24"/>
        </w:rPr>
        <w:t> </w:t>
      </w:r>
      <w:r>
        <w:rPr>
          <w:sz w:val="24"/>
        </w:rPr>
        <w:t>cause (03/09/2010-, 472/08, 61 A NOSSA ALEGRIA/CACHAÇA 51 et al., EU:T:2010:347, § 47; 05/10/2020, 602/19-, NATURANOVE/NATURALIUM et al., EU:T:2020:463, § 27;</w:t>
      </w:r>
    </w:p>
    <w:p>
      <w:pPr>
        <w:pStyle w:val="BodyText"/>
        <w:ind w:left="590"/>
        <w:jc w:val="both"/>
      </w:pPr>
      <w:r>
        <w:rPr/>
        <w:t>17/03/2021,</w:t>
      </w:r>
      <w:r>
        <w:rPr>
          <w:spacing w:val="-1"/>
        </w:rPr>
        <w:t> </w:t>
      </w:r>
      <w:r>
        <w:rPr/>
        <w:t>T-186/20,</w:t>
      </w:r>
      <w:r>
        <w:rPr>
          <w:spacing w:val="-1"/>
        </w:rPr>
        <w:t> </w:t>
      </w:r>
      <w:r>
        <w:rPr/>
        <w:t>The</w:t>
      </w:r>
      <w:r>
        <w:rPr>
          <w:spacing w:val="-1"/>
        </w:rPr>
        <w:t> </w:t>
      </w:r>
      <w:r>
        <w:rPr/>
        <w:t>time/Timehouse,</w:t>
      </w:r>
      <w:r>
        <w:rPr>
          <w:spacing w:val="-1"/>
        </w:rPr>
        <w:t> </w:t>
      </w:r>
      <w:r>
        <w:rPr/>
        <w:t>EU:T:2021:147,</w:t>
      </w:r>
      <w:r>
        <w:rPr>
          <w:spacing w:val="-1"/>
        </w:rPr>
        <w:t> </w:t>
      </w:r>
      <w:r>
        <w:rPr/>
        <w:t>§ </w:t>
      </w:r>
      <w:r>
        <w:rPr>
          <w:spacing w:val="-4"/>
        </w:rPr>
        <w:t>32).</w:t>
      </w:r>
    </w:p>
    <w:p>
      <w:pPr>
        <w:pStyle w:val="ListParagraph"/>
        <w:numPr>
          <w:ilvl w:val="0"/>
          <w:numId w:val="1"/>
        </w:numPr>
        <w:tabs>
          <w:tab w:pos="590" w:val="left" w:leader="none"/>
        </w:tabs>
        <w:spacing w:line="240" w:lineRule="auto" w:before="240" w:after="0"/>
        <w:ind w:left="590" w:right="159" w:hanging="425"/>
        <w:jc w:val="both"/>
        <w:rPr>
          <w:sz w:val="24"/>
        </w:rPr>
      </w:pPr>
      <w:r>
        <w:rPr>
          <w:sz w:val="24"/>
        </w:rPr>
        <w:t>Le consommateur ne décomposera pas artificiellement un signe en différents éléments (06/03/2015,</w:t>
      </w:r>
      <w:r>
        <w:rPr>
          <w:spacing w:val="-5"/>
          <w:sz w:val="24"/>
        </w:rPr>
        <w:t> </w:t>
      </w:r>
      <w:r>
        <w:rPr>
          <w:sz w:val="24"/>
        </w:rPr>
        <w:t>257/14-,</w:t>
      </w:r>
      <w:r>
        <w:rPr>
          <w:spacing w:val="-5"/>
          <w:sz w:val="24"/>
        </w:rPr>
        <w:t> </w:t>
      </w:r>
      <w:r>
        <w:rPr>
          <w:sz w:val="24"/>
        </w:rPr>
        <w:t>BLACK</w:t>
      </w:r>
      <w:r>
        <w:rPr>
          <w:spacing w:val="-5"/>
          <w:sz w:val="24"/>
        </w:rPr>
        <w:t> </w:t>
      </w:r>
      <w:r>
        <w:rPr>
          <w:sz w:val="24"/>
        </w:rPr>
        <w:t>JACK</w:t>
      </w:r>
      <w:r>
        <w:rPr>
          <w:spacing w:val="-5"/>
          <w:sz w:val="24"/>
        </w:rPr>
        <w:t> </w:t>
      </w:r>
      <w:r>
        <w:rPr>
          <w:sz w:val="24"/>
        </w:rPr>
        <w:t>TM,</w:t>
      </w:r>
      <w:r>
        <w:rPr>
          <w:spacing w:val="-5"/>
          <w:sz w:val="24"/>
        </w:rPr>
        <w:t> </w:t>
      </w:r>
      <w:r>
        <w:rPr>
          <w:sz w:val="24"/>
        </w:rPr>
        <w:t>EU:</w:t>
      </w:r>
      <w:r>
        <w:rPr>
          <w:spacing w:val="-4"/>
          <w:sz w:val="24"/>
        </w:rPr>
        <w:t> </w:t>
      </w:r>
      <w:r>
        <w:rPr>
          <w:sz w:val="24"/>
        </w:rPr>
        <w:t>T:</w:t>
      </w:r>
      <w:r>
        <w:rPr>
          <w:spacing w:val="-5"/>
          <w:sz w:val="24"/>
        </w:rPr>
        <w:t> </w:t>
      </w:r>
      <w:r>
        <w:rPr>
          <w:sz w:val="24"/>
        </w:rPr>
        <w:t>2015;</w:t>
      </w:r>
      <w:r>
        <w:rPr>
          <w:spacing w:val="-4"/>
          <w:sz w:val="24"/>
        </w:rPr>
        <w:t> </w:t>
      </w:r>
      <w:r>
        <w:rPr>
          <w:sz w:val="24"/>
        </w:rPr>
        <w:t>141,</w:t>
      </w:r>
      <w:r>
        <w:rPr>
          <w:spacing w:val="-5"/>
          <w:sz w:val="24"/>
        </w:rPr>
        <w:t> </w:t>
      </w:r>
      <w:r>
        <w:rPr>
          <w:sz w:val="24"/>
        </w:rPr>
        <w:t>§</w:t>
      </w:r>
      <w:r>
        <w:rPr>
          <w:spacing w:val="-5"/>
          <w:sz w:val="24"/>
        </w:rPr>
        <w:t> </w:t>
      </w:r>
      <w:r>
        <w:rPr>
          <w:sz w:val="24"/>
        </w:rPr>
        <w:t>39);</w:t>
      </w:r>
      <w:r>
        <w:rPr>
          <w:spacing w:val="-5"/>
          <w:sz w:val="24"/>
        </w:rPr>
        <w:t> </w:t>
      </w:r>
      <w:r>
        <w:rPr>
          <w:sz w:val="24"/>
        </w:rPr>
        <w:t>les</w:t>
      </w:r>
      <w:r>
        <w:rPr>
          <w:spacing w:val="-5"/>
          <w:sz w:val="24"/>
        </w:rPr>
        <w:t> </w:t>
      </w:r>
      <w:r>
        <w:rPr>
          <w:sz w:val="24"/>
        </w:rPr>
        <w:t>signes</w:t>
      </w:r>
      <w:r>
        <w:rPr>
          <w:spacing w:val="-5"/>
          <w:sz w:val="24"/>
        </w:rPr>
        <w:t> </w:t>
      </w:r>
      <w:r>
        <w:rPr>
          <w:sz w:val="24"/>
        </w:rPr>
        <w:t>ne</w:t>
      </w:r>
      <w:r>
        <w:rPr>
          <w:spacing w:val="-6"/>
          <w:sz w:val="24"/>
        </w:rPr>
        <w:t> </w:t>
      </w:r>
      <w:r>
        <w:rPr>
          <w:sz w:val="24"/>
        </w:rPr>
        <w:t>peuvent être décomposés que s’il existe des indications claires sur la manière de les décomposer &amp;bra; 26/03/2021, R 551/2018-G, Device (fig.)/Device (fig.), § 46 &amp;ket;. Un signe sera décomposé en éléments s’ils suggèrent une signification concrète ou s’ils ressemblent à des</w:t>
      </w:r>
      <w:r>
        <w:rPr>
          <w:spacing w:val="-10"/>
          <w:sz w:val="24"/>
        </w:rPr>
        <w:t> </w:t>
      </w:r>
      <w:r>
        <w:rPr>
          <w:sz w:val="24"/>
        </w:rPr>
        <w:t>mots</w:t>
      </w:r>
      <w:r>
        <w:rPr>
          <w:spacing w:val="-10"/>
          <w:sz w:val="24"/>
        </w:rPr>
        <w:t> </w:t>
      </w:r>
      <w:r>
        <w:rPr>
          <w:sz w:val="24"/>
        </w:rPr>
        <w:t>qu’il</w:t>
      </w:r>
      <w:r>
        <w:rPr>
          <w:spacing w:val="-10"/>
          <w:sz w:val="24"/>
        </w:rPr>
        <w:t> </w:t>
      </w:r>
      <w:r>
        <w:rPr>
          <w:sz w:val="24"/>
        </w:rPr>
        <w:t>connaît</w:t>
      </w:r>
      <w:r>
        <w:rPr>
          <w:spacing w:val="-10"/>
          <w:sz w:val="24"/>
        </w:rPr>
        <w:t> </w:t>
      </w:r>
      <w:r>
        <w:rPr>
          <w:sz w:val="24"/>
        </w:rPr>
        <w:t>(13/02/2007,</w:t>
      </w:r>
      <w:r>
        <w:rPr>
          <w:spacing w:val="-11"/>
          <w:sz w:val="24"/>
        </w:rPr>
        <w:t> </w:t>
      </w:r>
      <w:r>
        <w:rPr>
          <w:sz w:val="24"/>
        </w:rPr>
        <w:t>T-256/04,</w:t>
      </w:r>
      <w:r>
        <w:rPr>
          <w:spacing w:val="-10"/>
          <w:sz w:val="24"/>
        </w:rPr>
        <w:t> </w:t>
      </w:r>
      <w:r>
        <w:rPr>
          <w:sz w:val="24"/>
        </w:rPr>
        <w:t>Respicur,</w:t>
      </w:r>
      <w:r>
        <w:rPr>
          <w:spacing w:val="-11"/>
          <w:sz w:val="24"/>
        </w:rPr>
        <w:t> </w:t>
      </w:r>
      <w:r>
        <w:rPr>
          <w:sz w:val="24"/>
        </w:rPr>
        <w:t>EU:T:2007:46,</w:t>
      </w:r>
      <w:r>
        <w:rPr>
          <w:spacing w:val="-10"/>
          <w:sz w:val="24"/>
        </w:rPr>
        <w:t> </w:t>
      </w:r>
      <w:r>
        <w:rPr>
          <w:sz w:val="24"/>
        </w:rPr>
        <w:t>§</w:t>
      </w:r>
      <w:r>
        <w:rPr>
          <w:spacing w:val="-11"/>
          <w:sz w:val="24"/>
        </w:rPr>
        <w:t> </w:t>
      </w:r>
      <w:r>
        <w:rPr>
          <w:sz w:val="24"/>
        </w:rPr>
        <w:t>57;</w:t>
      </w:r>
      <w:r>
        <w:rPr>
          <w:spacing w:val="-10"/>
          <w:sz w:val="24"/>
        </w:rPr>
        <w:t> </w:t>
      </w:r>
      <w:r>
        <w:rPr>
          <w:sz w:val="24"/>
        </w:rPr>
        <w:t>26/03/2021, R 551/2018-G, Device (fig.)/Device (fig.), § 45).</w:t>
      </w:r>
    </w:p>
    <w:p>
      <w:pPr>
        <w:pStyle w:val="ListParagraph"/>
        <w:numPr>
          <w:ilvl w:val="0"/>
          <w:numId w:val="1"/>
        </w:numPr>
        <w:tabs>
          <w:tab w:pos="589" w:val="left" w:leader="none"/>
        </w:tabs>
        <w:spacing w:line="240" w:lineRule="auto" w:before="241" w:after="0"/>
        <w:ind w:left="589" w:right="0" w:hanging="424"/>
        <w:jc w:val="left"/>
        <w:rPr>
          <w:sz w:val="24"/>
        </w:rPr>
      </w:pPr>
      <w:r>
        <w:rPr>
          <w:sz w:val="24"/>
        </w:rPr>
        <w:t>Les</w:t>
      </w:r>
      <w:r>
        <w:rPr>
          <w:spacing w:val="-2"/>
          <w:sz w:val="24"/>
        </w:rPr>
        <w:t> </w:t>
      </w:r>
      <w:r>
        <w:rPr>
          <w:sz w:val="24"/>
        </w:rPr>
        <w:t>signes</w:t>
      </w:r>
      <w:r>
        <w:rPr>
          <w:spacing w:val="1"/>
          <w:sz w:val="24"/>
        </w:rPr>
        <w:t> </w:t>
      </w:r>
      <w:r>
        <w:rPr>
          <w:sz w:val="24"/>
        </w:rPr>
        <w:t>à</w:t>
      </w:r>
      <w:r>
        <w:rPr>
          <w:spacing w:val="-2"/>
          <w:sz w:val="24"/>
        </w:rPr>
        <w:t> </w:t>
      </w:r>
      <w:r>
        <w:rPr>
          <w:sz w:val="24"/>
        </w:rPr>
        <w:t>comparer</w:t>
      </w:r>
      <w:r>
        <w:rPr>
          <w:spacing w:val="-1"/>
          <w:sz w:val="24"/>
        </w:rPr>
        <w:t> </w:t>
      </w:r>
      <w:r>
        <w:rPr>
          <w:sz w:val="24"/>
        </w:rPr>
        <w:t>sont</w:t>
      </w:r>
      <w:r>
        <w:rPr>
          <w:spacing w:val="-1"/>
          <w:sz w:val="24"/>
        </w:rPr>
        <w:t> </w:t>
      </w:r>
      <w:r>
        <w:rPr>
          <w:sz w:val="24"/>
        </w:rPr>
        <w:t>les</w:t>
      </w:r>
      <w:r>
        <w:rPr>
          <w:spacing w:val="-1"/>
          <w:sz w:val="24"/>
        </w:rPr>
        <w:t> </w:t>
      </w:r>
      <w:r>
        <w:rPr>
          <w:spacing w:val="-2"/>
          <w:sz w:val="24"/>
        </w:rPr>
        <w:t>suivants:</w:t>
      </w:r>
    </w:p>
    <w:p>
      <w:pPr>
        <w:pStyle w:val="BodyText"/>
        <w:spacing w:before="11"/>
        <w:rPr>
          <w:sz w:val="20"/>
        </w:rPr>
      </w:pPr>
    </w:p>
    <w:tbl>
      <w:tblPr>
        <w:tblW w:w="0" w:type="auto"/>
        <w:jc w:val="left"/>
        <w:tblInd w:w="6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203"/>
        <w:gridCol w:w="4388"/>
      </w:tblGrid>
      <w:tr>
        <w:trPr>
          <w:trHeight w:val="2270" w:hRule="atLeast"/>
        </w:trPr>
        <w:tc>
          <w:tcPr>
            <w:tcW w:w="4203" w:type="dxa"/>
          </w:tcPr>
          <w:p>
            <w:pPr>
              <w:pStyle w:val="TableParagraph"/>
              <w:spacing w:before="244"/>
              <w:rPr>
                <w:sz w:val="28"/>
              </w:rPr>
            </w:pPr>
          </w:p>
          <w:p>
            <w:pPr>
              <w:pStyle w:val="TableParagraph"/>
              <w:ind w:left="57" w:right="65"/>
              <w:jc w:val="center"/>
              <w:rPr>
                <w:b/>
                <w:sz w:val="28"/>
              </w:rPr>
            </w:pPr>
            <w:r>
              <w:rPr>
                <w:b/>
                <w:sz w:val="28"/>
              </w:rPr>
              <w:t>NO</w:t>
            </w:r>
            <w:r>
              <w:rPr>
                <w:b/>
                <w:spacing w:val="-2"/>
                <w:sz w:val="28"/>
              </w:rPr>
              <w:t> </w:t>
            </w:r>
            <w:r>
              <w:rPr>
                <w:b/>
                <w:spacing w:val="-10"/>
                <w:sz w:val="28"/>
              </w:rPr>
              <w:t>5</w:t>
            </w:r>
          </w:p>
        </w:tc>
        <w:tc>
          <w:tcPr>
            <w:tcW w:w="4388" w:type="dxa"/>
          </w:tcPr>
          <w:p>
            <w:pPr>
              <w:pStyle w:val="TableParagraph"/>
              <w:spacing w:before="4"/>
              <w:rPr>
                <w:sz w:val="6"/>
              </w:rPr>
            </w:pPr>
          </w:p>
          <w:p>
            <w:pPr>
              <w:pStyle w:val="TableParagraph"/>
              <w:ind w:left="1593"/>
              <w:rPr>
                <w:sz w:val="20"/>
              </w:rPr>
            </w:pPr>
            <w:r>
              <w:rPr>
                <w:sz w:val="20"/>
              </w:rPr>
              <w:drawing>
                <wp:inline distT="0" distB="0" distL="0" distR="0">
                  <wp:extent cx="782844" cy="1170431"/>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7" cstate="print"/>
                          <a:stretch>
                            <a:fillRect/>
                          </a:stretch>
                        </pic:blipFill>
                        <pic:spPr>
                          <a:xfrm>
                            <a:off x="0" y="0"/>
                            <a:ext cx="782844" cy="1170431"/>
                          </a:xfrm>
                          <a:prstGeom prst="rect">
                            <a:avLst/>
                          </a:prstGeom>
                        </pic:spPr>
                      </pic:pic>
                    </a:graphicData>
                  </a:graphic>
                </wp:inline>
              </w:drawing>
            </w:r>
            <w:r>
              <w:rPr>
                <w:sz w:val="20"/>
              </w:rPr>
            </w:r>
          </w:p>
        </w:tc>
      </w:tr>
      <w:tr>
        <w:trPr>
          <w:trHeight w:val="695" w:hRule="atLeast"/>
        </w:trPr>
        <w:tc>
          <w:tcPr>
            <w:tcW w:w="4203" w:type="dxa"/>
          </w:tcPr>
          <w:p>
            <w:pPr>
              <w:pStyle w:val="TableParagraph"/>
              <w:spacing w:before="73"/>
              <w:ind w:left="65" w:right="8"/>
              <w:jc w:val="center"/>
              <w:rPr>
                <w:i/>
                <w:sz w:val="24"/>
              </w:rPr>
            </w:pPr>
            <w:r>
              <w:rPr>
                <w:i/>
                <w:sz w:val="24"/>
              </w:rPr>
              <w:t>Marque</w:t>
            </w:r>
            <w:r>
              <w:rPr>
                <w:i/>
                <w:spacing w:val="-2"/>
                <w:sz w:val="24"/>
              </w:rPr>
              <w:t> antérieure</w:t>
            </w:r>
          </w:p>
        </w:tc>
        <w:tc>
          <w:tcPr>
            <w:tcW w:w="4388" w:type="dxa"/>
          </w:tcPr>
          <w:p>
            <w:pPr>
              <w:pStyle w:val="TableParagraph"/>
              <w:spacing w:before="73"/>
              <w:ind w:left="57"/>
              <w:jc w:val="center"/>
              <w:rPr>
                <w:i/>
                <w:sz w:val="24"/>
              </w:rPr>
            </w:pPr>
            <w:r>
              <w:rPr>
                <w:i/>
                <w:sz w:val="24"/>
              </w:rPr>
              <w:t>Signe </w:t>
            </w:r>
            <w:r>
              <w:rPr>
                <w:i/>
                <w:spacing w:val="-2"/>
                <w:sz w:val="24"/>
              </w:rPr>
              <w:t>contesté</w:t>
            </w:r>
          </w:p>
        </w:tc>
      </w:tr>
    </w:tbl>
    <w:p>
      <w:pPr>
        <w:pStyle w:val="ListParagraph"/>
        <w:numPr>
          <w:ilvl w:val="0"/>
          <w:numId w:val="1"/>
        </w:numPr>
        <w:tabs>
          <w:tab w:pos="590" w:val="left" w:leader="none"/>
        </w:tabs>
        <w:spacing w:line="240" w:lineRule="auto" w:before="118" w:after="0"/>
        <w:ind w:left="590" w:right="162" w:hanging="425"/>
        <w:jc w:val="both"/>
        <w:rPr>
          <w:sz w:val="24"/>
        </w:rPr>
      </w:pPr>
      <w:r>
        <w:rPr>
          <w:sz w:val="24"/>
        </w:rPr>
        <w:t>La marque antérieure «no 5» est une marque verbale. La protection qui découle de l’enregistrement d’une marque verbale porte sur le mot mentionné et non sur les aspects graphiques ou stylistiques particuliers que cette marque pourrait éventuellement revêtir (13/02/2007-,</w:t>
      </w:r>
      <w:r>
        <w:rPr>
          <w:spacing w:val="-15"/>
          <w:sz w:val="24"/>
        </w:rPr>
        <w:t> </w:t>
      </w:r>
      <w:r>
        <w:rPr>
          <w:sz w:val="24"/>
        </w:rPr>
        <w:t>353/04,</w:t>
      </w:r>
      <w:r>
        <w:rPr>
          <w:spacing w:val="-15"/>
          <w:sz w:val="24"/>
        </w:rPr>
        <w:t> </w:t>
      </w:r>
      <w:r>
        <w:rPr>
          <w:sz w:val="24"/>
        </w:rPr>
        <w:t>CURON/EURON,</w:t>
      </w:r>
      <w:r>
        <w:rPr>
          <w:spacing w:val="-15"/>
          <w:sz w:val="24"/>
        </w:rPr>
        <w:t> </w:t>
      </w:r>
      <w:r>
        <w:rPr>
          <w:sz w:val="24"/>
        </w:rPr>
        <w:t>EU:T:2007:47,</w:t>
      </w:r>
      <w:r>
        <w:rPr>
          <w:spacing w:val="-15"/>
          <w:sz w:val="24"/>
        </w:rPr>
        <w:t> </w:t>
      </w:r>
      <w:r>
        <w:rPr>
          <w:sz w:val="24"/>
        </w:rPr>
        <w:t>§</w:t>
      </w:r>
      <w:r>
        <w:rPr>
          <w:spacing w:val="-15"/>
          <w:sz w:val="24"/>
        </w:rPr>
        <w:t> </w:t>
      </w:r>
      <w:r>
        <w:rPr>
          <w:sz w:val="24"/>
        </w:rPr>
        <w:t>74;</w:t>
      </w:r>
      <w:r>
        <w:rPr>
          <w:spacing w:val="-15"/>
          <w:sz w:val="24"/>
        </w:rPr>
        <w:t> </w:t>
      </w:r>
      <w:r>
        <w:rPr>
          <w:sz w:val="24"/>
        </w:rPr>
        <w:t>18/11/2020,-21/20,</w:t>
      </w:r>
      <w:r>
        <w:rPr>
          <w:spacing w:val="-15"/>
          <w:sz w:val="24"/>
        </w:rPr>
        <w:t> </w:t>
      </w:r>
      <w:r>
        <w:rPr>
          <w:sz w:val="24"/>
        </w:rPr>
        <w:t>K7/K7,</w:t>
      </w:r>
    </w:p>
    <w:p>
      <w:pPr>
        <w:pStyle w:val="BodyText"/>
        <w:ind w:left="590" w:right="158"/>
        <w:jc w:val="both"/>
      </w:pPr>
      <w:r>
        <w:rPr/>
        <w:t>EU:T:2020:550, § 40). Il s’ensuit qu’une marque verbale peut être utilisée sous quelque forme que ce soit, quelle que soit la couleur ou la police de caractères (-23/03/2022, T 146/21,</w:t>
      </w:r>
      <w:r>
        <w:rPr>
          <w:spacing w:val="-9"/>
        </w:rPr>
        <w:t> </w:t>
      </w:r>
      <w:r>
        <w:rPr/>
        <w:t>Deltatic/Delta,</w:t>
      </w:r>
      <w:r>
        <w:rPr>
          <w:spacing w:val="-9"/>
        </w:rPr>
        <w:t> </w:t>
      </w:r>
      <w:r>
        <w:rPr/>
        <w:t>EU:T:2022:159,</w:t>
      </w:r>
      <w:r>
        <w:rPr>
          <w:spacing w:val="-9"/>
        </w:rPr>
        <w:t> </w:t>
      </w:r>
      <w:r>
        <w:rPr/>
        <w:t>§</w:t>
      </w:r>
      <w:r>
        <w:rPr>
          <w:spacing w:val="-9"/>
        </w:rPr>
        <w:t> </w:t>
      </w:r>
      <w:r>
        <w:rPr/>
        <w:t>56).</w:t>
      </w:r>
      <w:r>
        <w:rPr>
          <w:spacing w:val="-5"/>
        </w:rPr>
        <w:t> </w:t>
      </w:r>
      <w:r>
        <w:rPr/>
        <w:t>La</w:t>
      </w:r>
      <w:r>
        <w:rPr>
          <w:spacing w:val="-8"/>
        </w:rPr>
        <w:t> </w:t>
      </w:r>
      <w:r>
        <w:rPr/>
        <w:t>combinaison</w:t>
      </w:r>
      <w:r>
        <w:rPr>
          <w:spacing w:val="-9"/>
        </w:rPr>
        <w:t> </w:t>
      </w:r>
      <w:r>
        <w:rPr/>
        <w:t>de</w:t>
      </w:r>
      <w:r>
        <w:rPr>
          <w:spacing w:val="-10"/>
        </w:rPr>
        <w:t> </w:t>
      </w:r>
      <w:r>
        <w:rPr/>
        <w:t>l’élément</w:t>
      </w:r>
      <w:r>
        <w:rPr>
          <w:spacing w:val="-9"/>
        </w:rPr>
        <w:t> </w:t>
      </w:r>
      <w:r>
        <w:rPr/>
        <w:t>verbal</w:t>
      </w:r>
      <w:r>
        <w:rPr>
          <w:spacing w:val="-4"/>
        </w:rPr>
        <w:t> </w:t>
      </w:r>
      <w:r>
        <w:rPr/>
        <w:t>«N»</w:t>
      </w:r>
      <w:r>
        <w:rPr>
          <w:spacing w:val="-13"/>
        </w:rPr>
        <w:t> </w:t>
      </w:r>
      <w:r>
        <w:rPr/>
        <w:t>et du</w:t>
      </w:r>
      <w:r>
        <w:rPr>
          <w:spacing w:val="-15"/>
        </w:rPr>
        <w:t> </w:t>
      </w:r>
      <w:r>
        <w:rPr/>
        <w:t>signe</w:t>
      </w:r>
      <w:r>
        <w:rPr>
          <w:spacing w:val="-15"/>
        </w:rPr>
        <w:t> </w:t>
      </w:r>
      <w:r>
        <w:rPr/>
        <w:t>de</w:t>
      </w:r>
      <w:r>
        <w:rPr>
          <w:spacing w:val="-15"/>
        </w:rPr>
        <w:t> </w:t>
      </w:r>
      <w:r>
        <w:rPr/>
        <w:t>degré</w:t>
      </w:r>
      <w:r>
        <w:rPr>
          <w:spacing w:val="-15"/>
        </w:rPr>
        <w:t> </w:t>
      </w:r>
      <w:r>
        <w:rPr/>
        <w:t>«°»</w:t>
      </w:r>
      <w:r>
        <w:rPr>
          <w:spacing w:val="-15"/>
        </w:rPr>
        <w:t> </w:t>
      </w:r>
      <w:r>
        <w:rPr/>
        <w:t>représente</w:t>
      </w:r>
      <w:r>
        <w:rPr>
          <w:spacing w:val="-15"/>
        </w:rPr>
        <w:t> </w:t>
      </w:r>
      <w:r>
        <w:rPr/>
        <w:t>une</w:t>
      </w:r>
      <w:r>
        <w:rPr>
          <w:spacing w:val="-15"/>
        </w:rPr>
        <w:t> </w:t>
      </w:r>
      <w:r>
        <w:rPr/>
        <w:t>abréviation</w:t>
      </w:r>
      <w:r>
        <w:rPr>
          <w:spacing w:val="-15"/>
        </w:rPr>
        <w:t> </w:t>
      </w:r>
      <w:r>
        <w:rPr/>
        <w:t>typographique</w:t>
      </w:r>
      <w:r>
        <w:rPr>
          <w:spacing w:val="-15"/>
        </w:rPr>
        <w:t> </w:t>
      </w:r>
      <w:r>
        <w:rPr/>
        <w:t>courante</w:t>
      </w:r>
      <w:r>
        <w:rPr>
          <w:spacing w:val="-15"/>
        </w:rPr>
        <w:t> </w:t>
      </w:r>
      <w:r>
        <w:rPr/>
        <w:t>du</w:t>
      </w:r>
      <w:r>
        <w:rPr>
          <w:spacing w:val="-15"/>
        </w:rPr>
        <w:t> </w:t>
      </w:r>
      <w:r>
        <w:rPr/>
        <w:t>mot</w:t>
      </w:r>
      <w:r>
        <w:rPr>
          <w:spacing w:val="-15"/>
        </w:rPr>
        <w:t> </w:t>
      </w:r>
      <w:r>
        <w:rPr/>
        <w:t>«number» (voir </w:t>
      </w:r>
      <w:hyperlink r:id="rId9">
        <w:r>
          <w:rPr>
            <w:color w:val="0000FF"/>
            <w:u w:val="single" w:color="0000FF"/>
          </w:rPr>
          <w:t>www.larousse.fr/dictionnaires/francais/no/53664</w:t>
        </w:r>
      </w:hyperlink>
      <w:r>
        <w:rPr/>
        <w:t>, consulté le 28/01/2025). Par conséquent, la marque antérieure 2 véhiculera aux consommateurs pertinents la signification «numéro 5».</w:t>
      </w:r>
    </w:p>
    <w:p>
      <w:pPr>
        <w:pStyle w:val="ListParagraph"/>
        <w:numPr>
          <w:ilvl w:val="0"/>
          <w:numId w:val="1"/>
        </w:numPr>
        <w:tabs>
          <w:tab w:pos="590" w:val="left" w:leader="none"/>
        </w:tabs>
        <w:spacing w:line="240" w:lineRule="auto" w:before="241" w:after="0"/>
        <w:ind w:left="590" w:right="164" w:hanging="425"/>
        <w:jc w:val="both"/>
        <w:rPr>
          <w:sz w:val="24"/>
        </w:rPr>
      </w:pPr>
      <w:r>
        <w:rPr>
          <w:sz w:val="24"/>
        </w:rPr>
        <w:t>L’élément «5» véhicule la signification de ce chiffre qui, par rapport aux produits pertinents</w:t>
      </w:r>
      <w:r>
        <w:rPr>
          <w:spacing w:val="-15"/>
          <w:sz w:val="24"/>
        </w:rPr>
        <w:t> </w:t>
      </w:r>
      <w:r>
        <w:rPr>
          <w:sz w:val="24"/>
        </w:rPr>
        <w:t>compris</w:t>
      </w:r>
      <w:r>
        <w:rPr>
          <w:spacing w:val="-15"/>
          <w:sz w:val="24"/>
        </w:rPr>
        <w:t> </w:t>
      </w:r>
      <w:r>
        <w:rPr>
          <w:sz w:val="24"/>
        </w:rPr>
        <w:t>dans</w:t>
      </w:r>
      <w:r>
        <w:rPr>
          <w:spacing w:val="-15"/>
          <w:sz w:val="24"/>
        </w:rPr>
        <w:t> </w:t>
      </w:r>
      <w:r>
        <w:rPr>
          <w:sz w:val="24"/>
        </w:rPr>
        <w:t>la</w:t>
      </w:r>
      <w:r>
        <w:rPr>
          <w:spacing w:val="-15"/>
          <w:sz w:val="24"/>
        </w:rPr>
        <w:t> </w:t>
      </w:r>
      <w:r>
        <w:rPr>
          <w:sz w:val="24"/>
        </w:rPr>
        <w:t>classe</w:t>
      </w:r>
      <w:r>
        <w:rPr>
          <w:spacing w:val="-15"/>
          <w:sz w:val="24"/>
        </w:rPr>
        <w:t> </w:t>
      </w:r>
      <w:r>
        <w:rPr>
          <w:sz w:val="24"/>
        </w:rPr>
        <w:t>3</w:t>
      </w:r>
      <w:r>
        <w:rPr>
          <w:spacing w:val="-15"/>
          <w:sz w:val="24"/>
        </w:rPr>
        <w:t> </w:t>
      </w:r>
      <w:r>
        <w:rPr>
          <w:sz w:val="24"/>
        </w:rPr>
        <w:t>(cosmétiques</w:t>
      </w:r>
      <w:r>
        <w:rPr>
          <w:spacing w:val="-15"/>
          <w:sz w:val="24"/>
        </w:rPr>
        <w:t> </w:t>
      </w:r>
      <w:r>
        <w:rPr>
          <w:sz w:val="24"/>
        </w:rPr>
        <w:t>et</w:t>
      </w:r>
      <w:r>
        <w:rPr>
          <w:spacing w:val="-13"/>
          <w:sz w:val="24"/>
        </w:rPr>
        <w:t> </w:t>
      </w:r>
      <w:r>
        <w:rPr>
          <w:sz w:val="24"/>
        </w:rPr>
        <w:t>produits</w:t>
      </w:r>
      <w:r>
        <w:rPr>
          <w:spacing w:val="-15"/>
          <w:sz w:val="24"/>
        </w:rPr>
        <w:t> </w:t>
      </w:r>
      <w:r>
        <w:rPr>
          <w:sz w:val="24"/>
        </w:rPr>
        <w:t>de</w:t>
      </w:r>
      <w:r>
        <w:rPr>
          <w:spacing w:val="-15"/>
          <w:sz w:val="24"/>
        </w:rPr>
        <w:t> </w:t>
      </w:r>
      <w:r>
        <w:rPr>
          <w:sz w:val="24"/>
        </w:rPr>
        <w:t>parfumerie),</w:t>
      </w:r>
      <w:r>
        <w:rPr>
          <w:spacing w:val="-14"/>
          <w:sz w:val="24"/>
        </w:rPr>
        <w:t> </w:t>
      </w:r>
      <w:r>
        <w:rPr>
          <w:sz w:val="24"/>
        </w:rPr>
        <w:t>peut</w:t>
      </w:r>
      <w:r>
        <w:rPr>
          <w:spacing w:val="-15"/>
          <w:sz w:val="24"/>
        </w:rPr>
        <w:t> </w:t>
      </w:r>
      <w:r>
        <w:rPr>
          <w:sz w:val="24"/>
        </w:rPr>
        <w:t>être</w:t>
      </w:r>
      <w:r>
        <w:rPr>
          <w:spacing w:val="-15"/>
          <w:sz w:val="24"/>
        </w:rPr>
        <w:t> </w:t>
      </w:r>
      <w:r>
        <w:rPr>
          <w:sz w:val="24"/>
        </w:rPr>
        <w:t>perçu comme</w:t>
      </w:r>
      <w:r>
        <w:rPr>
          <w:spacing w:val="23"/>
          <w:sz w:val="24"/>
        </w:rPr>
        <w:t> </w:t>
      </w:r>
      <w:r>
        <w:rPr>
          <w:sz w:val="24"/>
        </w:rPr>
        <w:t>un</w:t>
      </w:r>
      <w:r>
        <w:rPr>
          <w:spacing w:val="24"/>
          <w:sz w:val="24"/>
        </w:rPr>
        <w:t> </w:t>
      </w:r>
      <w:r>
        <w:rPr>
          <w:sz w:val="24"/>
        </w:rPr>
        <w:t>numéro</w:t>
      </w:r>
      <w:r>
        <w:rPr>
          <w:spacing w:val="26"/>
          <w:sz w:val="24"/>
        </w:rPr>
        <w:t> </w:t>
      </w:r>
      <w:r>
        <w:rPr>
          <w:sz w:val="24"/>
        </w:rPr>
        <w:t>de</w:t>
      </w:r>
      <w:r>
        <w:rPr>
          <w:spacing w:val="23"/>
          <w:sz w:val="24"/>
        </w:rPr>
        <w:t> </w:t>
      </w:r>
      <w:r>
        <w:rPr>
          <w:sz w:val="24"/>
        </w:rPr>
        <w:t>série</w:t>
      </w:r>
      <w:r>
        <w:rPr>
          <w:spacing w:val="23"/>
          <w:sz w:val="24"/>
        </w:rPr>
        <w:t> </w:t>
      </w:r>
      <w:r>
        <w:rPr>
          <w:sz w:val="24"/>
        </w:rPr>
        <w:t>ou</w:t>
      </w:r>
      <w:r>
        <w:rPr>
          <w:spacing w:val="24"/>
          <w:sz w:val="24"/>
        </w:rPr>
        <w:t> </w:t>
      </w:r>
      <w:r>
        <w:rPr>
          <w:sz w:val="24"/>
        </w:rPr>
        <w:t>comme</w:t>
      </w:r>
      <w:r>
        <w:rPr>
          <w:spacing w:val="25"/>
          <w:sz w:val="24"/>
        </w:rPr>
        <w:t> </w:t>
      </w:r>
      <w:r>
        <w:rPr>
          <w:sz w:val="24"/>
        </w:rPr>
        <w:t>le</w:t>
      </w:r>
      <w:r>
        <w:rPr>
          <w:spacing w:val="23"/>
          <w:sz w:val="24"/>
        </w:rPr>
        <w:t> </w:t>
      </w:r>
      <w:r>
        <w:rPr>
          <w:sz w:val="24"/>
        </w:rPr>
        <w:t>numéro</w:t>
      </w:r>
      <w:r>
        <w:rPr>
          <w:spacing w:val="26"/>
          <w:sz w:val="24"/>
        </w:rPr>
        <w:t> </w:t>
      </w:r>
      <w:r>
        <w:rPr>
          <w:sz w:val="24"/>
        </w:rPr>
        <w:t>d’une</w:t>
      </w:r>
      <w:r>
        <w:rPr>
          <w:spacing w:val="24"/>
          <w:sz w:val="24"/>
        </w:rPr>
        <w:t> </w:t>
      </w:r>
      <w:r>
        <w:rPr>
          <w:sz w:val="24"/>
        </w:rPr>
        <w:t>gamme</w:t>
      </w:r>
      <w:r>
        <w:rPr>
          <w:spacing w:val="23"/>
          <w:sz w:val="24"/>
        </w:rPr>
        <w:t> </w:t>
      </w:r>
      <w:r>
        <w:rPr>
          <w:sz w:val="24"/>
        </w:rPr>
        <w:t>de</w:t>
      </w:r>
      <w:r>
        <w:rPr>
          <w:spacing w:val="23"/>
          <w:sz w:val="24"/>
        </w:rPr>
        <w:t> </w:t>
      </w:r>
      <w:r>
        <w:rPr>
          <w:sz w:val="24"/>
        </w:rPr>
        <w:t>produits</w:t>
      </w:r>
      <w:r>
        <w:rPr>
          <w:spacing w:val="24"/>
          <w:sz w:val="24"/>
        </w:rPr>
        <w:t> </w:t>
      </w:r>
      <w:r>
        <w:rPr>
          <w:sz w:val="24"/>
        </w:rPr>
        <w:t>plutôt</w:t>
      </w:r>
      <w:r>
        <w:rPr>
          <w:spacing w:val="24"/>
          <w:sz w:val="24"/>
        </w:rPr>
        <w:t> </w:t>
      </w:r>
      <w:r>
        <w:rPr>
          <w:sz w:val="24"/>
        </w:rPr>
        <w:t>que</w:t>
      </w:r>
    </w:p>
    <w:p>
      <w:pPr>
        <w:pStyle w:val="BodyText"/>
        <w:rPr>
          <w:sz w:val="18"/>
        </w:rPr>
      </w:pPr>
    </w:p>
    <w:p>
      <w:pPr>
        <w:pStyle w:val="BodyText"/>
        <w:rPr>
          <w:sz w:val="18"/>
        </w:rPr>
      </w:pPr>
    </w:p>
    <w:p>
      <w:pPr>
        <w:pStyle w:val="BodyText"/>
        <w:rPr>
          <w:sz w:val="18"/>
        </w:rPr>
      </w:pPr>
    </w:p>
    <w:p>
      <w:pPr>
        <w:pStyle w:val="BodyText"/>
        <w:spacing w:before="73"/>
        <w:rPr>
          <w:sz w:val="18"/>
        </w:rPr>
      </w:pPr>
    </w:p>
    <w:p>
      <w:pPr>
        <w:spacing w:before="0"/>
        <w:ind w:left="2737" w:right="2738" w:firstLine="0"/>
        <w:jc w:val="center"/>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p>
      <w:pPr>
        <w:spacing w:after="0"/>
        <w:jc w:val="center"/>
        <w:rPr>
          <w:sz w:val="18"/>
        </w:rPr>
        <w:sectPr>
          <w:pgSz w:w="11910" w:h="16840"/>
          <w:pgMar w:header="970" w:footer="0" w:top="1180" w:bottom="280" w:left="1275" w:right="1275"/>
        </w:sectPr>
      </w:pPr>
    </w:p>
    <w:p>
      <w:pPr>
        <w:pStyle w:val="BodyText"/>
        <w:tabs>
          <w:tab w:pos="6127" w:val="left" w:leader="none"/>
        </w:tabs>
        <w:spacing w:before="249"/>
        <w:ind w:left="590" w:right="168"/>
      </w:pPr>
      <w:r>
        <w:rPr/>
        <mc:AlternateContent>
          <mc:Choice Requires="wps">
            <w:drawing>
              <wp:anchor distT="0" distB="0" distL="0" distR="0" allowOverlap="1" layoutInCell="1" locked="0" behindDoc="0" simplePos="0" relativeHeight="15746560">
                <wp:simplePos x="0" y="0"/>
                <wp:positionH relativeFrom="page">
                  <wp:posOffset>270575</wp:posOffset>
                </wp:positionH>
                <wp:positionV relativeFrom="page">
                  <wp:posOffset>1114363</wp:posOffset>
                </wp:positionV>
                <wp:extent cx="146050" cy="921004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146050" cy="9210040"/>
                        </a:xfrm>
                        <a:prstGeom prst="rect">
                          <a:avLst/>
                        </a:prstGeom>
                      </wps:spPr>
                      <wps:txbx>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wps:txbx>
                      <wps:bodyPr wrap="square" lIns="0" tIns="0" rIns="0" bIns="0" rtlCol="0" vert="vert270">
                        <a:noAutofit/>
                      </wps:bodyPr>
                    </wps:wsp>
                  </a:graphicData>
                </a:graphic>
              </wp:anchor>
            </w:drawing>
          </mc:Choice>
          <mc:Fallback>
            <w:pict>
              <v:shape style="position:absolute;margin-left:21.305176pt;margin-top:87.745193pt;width:11.5pt;height:725.2pt;mso-position-horizontal-relative:page;mso-position-vertical-relative:page;z-index:15746560" type="#_x0000_t202" id="docshape28" filled="false" stroked="false">
                <v:textbox inset="0,0,0,0" style="layout-flow:vertical;mso-layout-flow-alt:bottom-to-top">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v:textbox>
                <w10:wrap type="none"/>
              </v:shape>
            </w:pict>
          </mc:Fallback>
        </mc:AlternateContent>
      </w:r>
      <w:r>
        <w:rPr/>
        <w:t>comme</w:t>
      </w:r>
      <w:r>
        <w:rPr>
          <w:spacing w:val="80"/>
        </w:rPr>
        <w:t> </w:t>
      </w:r>
      <w:r>
        <w:rPr/>
        <w:t>un</w:t>
      </w:r>
      <w:r>
        <w:rPr>
          <w:spacing w:val="80"/>
        </w:rPr>
        <w:t> </w:t>
      </w:r>
      <w:r>
        <w:rPr/>
        <w:t>indicateur</w:t>
      </w:r>
      <w:r>
        <w:rPr>
          <w:spacing w:val="80"/>
        </w:rPr>
        <w:t> </w:t>
      </w:r>
      <w:r>
        <w:rPr/>
        <w:t>de</w:t>
      </w:r>
      <w:r>
        <w:rPr>
          <w:spacing w:val="80"/>
        </w:rPr>
        <w:t> </w:t>
      </w:r>
      <w:r>
        <w:rPr/>
        <w:t>l’origine</w:t>
      </w:r>
      <w:r>
        <w:rPr>
          <w:spacing w:val="80"/>
        </w:rPr>
        <w:t> </w:t>
      </w:r>
      <w:r>
        <w:rPr/>
        <w:t>commerciale.</w:t>
        <w:tab/>
        <w:t>Dès</w:t>
      </w:r>
      <w:r>
        <w:rPr>
          <w:spacing w:val="80"/>
        </w:rPr>
        <w:t> </w:t>
      </w:r>
      <w:r>
        <w:rPr/>
        <w:t>lors,</w:t>
      </w:r>
      <w:r>
        <w:rPr>
          <w:spacing w:val="80"/>
        </w:rPr>
        <w:t> </w:t>
      </w:r>
      <w:r>
        <w:rPr/>
        <w:t>l’élément</w:t>
      </w:r>
      <w:r>
        <w:rPr>
          <w:spacing w:val="80"/>
        </w:rPr>
        <w:t> </w:t>
      </w:r>
      <w:r>
        <w:rPr/>
        <w:t>«5»</w:t>
      </w:r>
      <w:r>
        <w:rPr>
          <w:spacing w:val="80"/>
        </w:rPr>
        <w:t> </w:t>
      </w:r>
      <w:r>
        <w:rPr/>
        <w:t>est intrinsèquement faible.</w:t>
      </w:r>
    </w:p>
    <w:p>
      <w:pPr>
        <w:pStyle w:val="ListParagraph"/>
        <w:numPr>
          <w:ilvl w:val="0"/>
          <w:numId w:val="1"/>
        </w:numPr>
        <w:tabs>
          <w:tab w:pos="590" w:val="left" w:leader="none"/>
        </w:tabs>
        <w:spacing w:line="240" w:lineRule="auto" w:before="240" w:after="0"/>
        <w:ind w:left="590" w:right="160" w:hanging="425"/>
        <w:jc w:val="both"/>
        <w:rPr>
          <w:sz w:val="24"/>
        </w:rPr>
      </w:pPr>
      <w:r>
        <w:rPr>
          <w:sz w:val="24"/>
        </w:rPr>
        <w:t>Les chiffres uniques, en tant que lettres uniques, ne devraient pas bénéficier d’une protection étendue et étendue. Les consommateurs n’attribueront généralement pas une origine commerciale à des chiffres en raison de l’omniprésence de chiffres dans le commerce pour désigner le nombre d’articles, le volume, le poids, la taille, l’édition, l’heure, etc. L’expérience générale montre que les consommateurs sont exposés à une multitude</w:t>
      </w:r>
      <w:r>
        <w:rPr>
          <w:spacing w:val="-11"/>
          <w:sz w:val="24"/>
        </w:rPr>
        <w:t> </w:t>
      </w:r>
      <w:r>
        <w:rPr>
          <w:sz w:val="24"/>
        </w:rPr>
        <w:t>de</w:t>
      </w:r>
      <w:r>
        <w:rPr>
          <w:spacing w:val="-12"/>
          <w:sz w:val="24"/>
        </w:rPr>
        <w:t> </w:t>
      </w:r>
      <w:r>
        <w:rPr>
          <w:sz w:val="24"/>
        </w:rPr>
        <w:t>stylisations</w:t>
      </w:r>
      <w:r>
        <w:rPr>
          <w:spacing w:val="-10"/>
          <w:sz w:val="24"/>
        </w:rPr>
        <w:t> </w:t>
      </w:r>
      <w:r>
        <w:rPr>
          <w:sz w:val="24"/>
        </w:rPr>
        <w:t>du</w:t>
      </w:r>
      <w:r>
        <w:rPr>
          <w:spacing w:val="-11"/>
          <w:sz w:val="24"/>
        </w:rPr>
        <w:t> </w:t>
      </w:r>
      <w:r>
        <w:rPr>
          <w:sz w:val="24"/>
        </w:rPr>
        <w:t>même</w:t>
      </w:r>
      <w:r>
        <w:rPr>
          <w:spacing w:val="-12"/>
          <w:sz w:val="24"/>
        </w:rPr>
        <w:t> </w:t>
      </w:r>
      <w:r>
        <w:rPr>
          <w:sz w:val="24"/>
        </w:rPr>
        <w:t>numéro</w:t>
      </w:r>
      <w:r>
        <w:rPr>
          <w:spacing w:val="-11"/>
          <w:sz w:val="24"/>
        </w:rPr>
        <w:t> </w:t>
      </w:r>
      <w:r>
        <w:rPr>
          <w:sz w:val="24"/>
        </w:rPr>
        <w:t>unique,</w:t>
      </w:r>
      <w:r>
        <w:rPr>
          <w:spacing w:val="-11"/>
          <w:sz w:val="24"/>
        </w:rPr>
        <w:t> </w:t>
      </w:r>
      <w:r>
        <w:rPr>
          <w:sz w:val="24"/>
        </w:rPr>
        <w:t>de</w:t>
      </w:r>
      <w:r>
        <w:rPr>
          <w:spacing w:val="-12"/>
          <w:sz w:val="24"/>
        </w:rPr>
        <w:t> </w:t>
      </w:r>
      <w:r>
        <w:rPr>
          <w:sz w:val="24"/>
        </w:rPr>
        <w:t>sorte</w:t>
      </w:r>
      <w:r>
        <w:rPr>
          <w:spacing w:val="-12"/>
          <w:sz w:val="24"/>
        </w:rPr>
        <w:t> </w:t>
      </w:r>
      <w:r>
        <w:rPr>
          <w:sz w:val="24"/>
        </w:rPr>
        <w:t>qu’ils</w:t>
      </w:r>
      <w:r>
        <w:rPr>
          <w:spacing w:val="-10"/>
          <w:sz w:val="24"/>
        </w:rPr>
        <w:t> </w:t>
      </w:r>
      <w:r>
        <w:rPr>
          <w:sz w:val="24"/>
        </w:rPr>
        <w:t>sont</w:t>
      </w:r>
      <w:r>
        <w:rPr>
          <w:spacing w:val="-10"/>
          <w:sz w:val="24"/>
        </w:rPr>
        <w:t> </w:t>
      </w:r>
      <w:r>
        <w:rPr>
          <w:sz w:val="24"/>
        </w:rPr>
        <w:t>habitués</w:t>
      </w:r>
      <w:r>
        <w:rPr>
          <w:spacing w:val="-10"/>
          <w:sz w:val="24"/>
        </w:rPr>
        <w:t> </w:t>
      </w:r>
      <w:r>
        <w:rPr>
          <w:sz w:val="24"/>
        </w:rPr>
        <w:t>à</w:t>
      </w:r>
      <w:r>
        <w:rPr>
          <w:spacing w:val="-12"/>
          <w:sz w:val="24"/>
        </w:rPr>
        <w:t> </w:t>
      </w:r>
      <w:r>
        <w:rPr>
          <w:sz w:val="24"/>
        </w:rPr>
        <w:t>identifier l’origine commerciale grâce à l’agencement figuratif particulier.</w:t>
      </w:r>
    </w:p>
    <w:p>
      <w:pPr>
        <w:pStyle w:val="ListParagraph"/>
        <w:numPr>
          <w:ilvl w:val="0"/>
          <w:numId w:val="1"/>
        </w:numPr>
        <w:tabs>
          <w:tab w:pos="590" w:val="left" w:leader="none"/>
        </w:tabs>
        <w:spacing w:line="240" w:lineRule="auto" w:before="240" w:after="0"/>
        <w:ind w:left="590" w:right="160" w:hanging="425"/>
        <w:jc w:val="both"/>
        <w:rPr>
          <w:sz w:val="24"/>
        </w:rPr>
      </w:pPr>
      <w:r>
        <w:rPr>
          <w:sz w:val="24"/>
        </w:rPr>
        <w:t>En raison de la perception habituelle de signes-composés d’un seul nombre par le public pertinent,</w:t>
      </w:r>
      <w:r>
        <w:rPr>
          <w:spacing w:val="-4"/>
          <w:sz w:val="24"/>
        </w:rPr>
        <w:t> </w:t>
      </w:r>
      <w:r>
        <w:rPr>
          <w:sz w:val="24"/>
        </w:rPr>
        <w:t>même</w:t>
      </w:r>
      <w:r>
        <w:rPr>
          <w:spacing w:val="-6"/>
          <w:sz w:val="24"/>
        </w:rPr>
        <w:t> </w:t>
      </w:r>
      <w:r>
        <w:rPr>
          <w:sz w:val="24"/>
        </w:rPr>
        <w:t>si</w:t>
      </w:r>
      <w:r>
        <w:rPr>
          <w:spacing w:val="-4"/>
          <w:sz w:val="24"/>
        </w:rPr>
        <w:t> </w:t>
      </w:r>
      <w:r>
        <w:rPr>
          <w:sz w:val="24"/>
        </w:rPr>
        <w:t>ce</w:t>
      </w:r>
      <w:r>
        <w:rPr>
          <w:spacing w:val="-6"/>
          <w:sz w:val="24"/>
        </w:rPr>
        <w:t> </w:t>
      </w:r>
      <w:r>
        <w:rPr>
          <w:sz w:val="24"/>
        </w:rPr>
        <w:t>nombre</w:t>
      </w:r>
      <w:r>
        <w:rPr>
          <w:spacing w:val="-6"/>
          <w:sz w:val="24"/>
        </w:rPr>
        <w:t> </w:t>
      </w:r>
      <w:r>
        <w:rPr>
          <w:sz w:val="24"/>
        </w:rPr>
        <w:t>n’a</w:t>
      </w:r>
      <w:r>
        <w:rPr>
          <w:spacing w:val="-7"/>
          <w:sz w:val="24"/>
        </w:rPr>
        <w:t> </w:t>
      </w:r>
      <w:r>
        <w:rPr>
          <w:sz w:val="24"/>
        </w:rPr>
        <w:t>pas</w:t>
      </w:r>
      <w:r>
        <w:rPr>
          <w:spacing w:val="-5"/>
          <w:sz w:val="24"/>
        </w:rPr>
        <w:t> </w:t>
      </w:r>
      <w:r>
        <w:rPr>
          <w:sz w:val="24"/>
        </w:rPr>
        <w:t>de</w:t>
      </w:r>
      <w:r>
        <w:rPr>
          <w:spacing w:val="-6"/>
          <w:sz w:val="24"/>
        </w:rPr>
        <w:t> </w:t>
      </w:r>
      <w:r>
        <w:rPr>
          <w:sz w:val="24"/>
        </w:rPr>
        <w:t>signification</w:t>
      </w:r>
      <w:r>
        <w:rPr>
          <w:spacing w:val="-5"/>
          <w:sz w:val="24"/>
        </w:rPr>
        <w:t> </w:t>
      </w:r>
      <w:r>
        <w:rPr>
          <w:sz w:val="24"/>
        </w:rPr>
        <w:t>par</w:t>
      </w:r>
      <w:r>
        <w:rPr>
          <w:spacing w:val="-6"/>
          <w:sz w:val="24"/>
        </w:rPr>
        <w:t> </w:t>
      </w:r>
      <w:r>
        <w:rPr>
          <w:sz w:val="24"/>
        </w:rPr>
        <w:t>rapport</w:t>
      </w:r>
      <w:r>
        <w:rPr>
          <w:spacing w:val="-5"/>
          <w:sz w:val="24"/>
        </w:rPr>
        <w:t> </w:t>
      </w:r>
      <w:r>
        <w:rPr>
          <w:sz w:val="24"/>
        </w:rPr>
        <w:t>aux</w:t>
      </w:r>
      <w:r>
        <w:rPr>
          <w:spacing w:val="-3"/>
          <w:sz w:val="24"/>
        </w:rPr>
        <w:t> </w:t>
      </w:r>
      <w:r>
        <w:rPr>
          <w:sz w:val="24"/>
        </w:rPr>
        <w:t>produits</w:t>
      </w:r>
      <w:r>
        <w:rPr>
          <w:spacing w:val="-5"/>
          <w:sz w:val="24"/>
        </w:rPr>
        <w:t> </w:t>
      </w:r>
      <w:r>
        <w:rPr>
          <w:sz w:val="24"/>
        </w:rPr>
        <w:t>et</w:t>
      </w:r>
      <w:r>
        <w:rPr>
          <w:spacing w:val="-4"/>
          <w:sz w:val="24"/>
        </w:rPr>
        <w:t> </w:t>
      </w:r>
      <w:r>
        <w:rPr>
          <w:sz w:val="24"/>
        </w:rPr>
        <w:t>services, il</w:t>
      </w:r>
      <w:r>
        <w:rPr>
          <w:spacing w:val="-1"/>
          <w:sz w:val="24"/>
        </w:rPr>
        <w:t> </w:t>
      </w:r>
      <w:r>
        <w:rPr>
          <w:sz w:val="24"/>
        </w:rPr>
        <w:t>possède,</w:t>
      </w:r>
      <w:r>
        <w:rPr>
          <w:spacing w:val="-1"/>
          <w:sz w:val="24"/>
        </w:rPr>
        <w:t> </w:t>
      </w:r>
      <w:r>
        <w:rPr>
          <w:sz w:val="24"/>
        </w:rPr>
        <w:t>en</w:t>
      </w:r>
      <w:r>
        <w:rPr>
          <w:spacing w:val="-1"/>
          <w:sz w:val="24"/>
        </w:rPr>
        <w:t> </w:t>
      </w:r>
      <w:r>
        <w:rPr>
          <w:sz w:val="24"/>
        </w:rPr>
        <w:t>principe,</w:t>
      </w:r>
      <w:r>
        <w:rPr>
          <w:spacing w:val="-2"/>
          <w:sz w:val="24"/>
        </w:rPr>
        <w:t> </w:t>
      </w:r>
      <w:r>
        <w:rPr>
          <w:sz w:val="24"/>
        </w:rPr>
        <w:t>un</w:t>
      </w:r>
      <w:r>
        <w:rPr>
          <w:spacing w:val="-1"/>
          <w:sz w:val="24"/>
        </w:rPr>
        <w:t> </w:t>
      </w:r>
      <w:r>
        <w:rPr>
          <w:sz w:val="24"/>
        </w:rPr>
        <w:t>faible</w:t>
      </w:r>
      <w:r>
        <w:rPr>
          <w:spacing w:val="-2"/>
          <w:sz w:val="24"/>
        </w:rPr>
        <w:t> </w:t>
      </w:r>
      <w:r>
        <w:rPr>
          <w:sz w:val="24"/>
        </w:rPr>
        <w:t>degré</w:t>
      </w:r>
      <w:r>
        <w:rPr>
          <w:spacing w:val="-2"/>
          <w:sz w:val="24"/>
        </w:rPr>
        <w:t> </w:t>
      </w:r>
      <w:r>
        <w:rPr>
          <w:sz w:val="24"/>
        </w:rPr>
        <w:t>de</w:t>
      </w:r>
      <w:r>
        <w:rPr>
          <w:spacing w:val="-2"/>
          <w:sz w:val="24"/>
        </w:rPr>
        <w:t> </w:t>
      </w:r>
      <w:r>
        <w:rPr>
          <w:sz w:val="24"/>
        </w:rPr>
        <w:t>caractère</w:t>
      </w:r>
      <w:r>
        <w:rPr>
          <w:spacing w:val="-2"/>
          <w:sz w:val="24"/>
        </w:rPr>
        <w:t> </w:t>
      </w:r>
      <w:r>
        <w:rPr>
          <w:sz w:val="24"/>
        </w:rPr>
        <w:t>distinctif</w:t>
      </w:r>
      <w:r>
        <w:rPr>
          <w:spacing w:val="-2"/>
          <w:sz w:val="24"/>
        </w:rPr>
        <w:t> </w:t>
      </w:r>
      <w:r>
        <w:rPr>
          <w:sz w:val="24"/>
        </w:rPr>
        <w:t>lorsqu’il</w:t>
      </w:r>
      <w:r>
        <w:rPr>
          <w:spacing w:val="-3"/>
          <w:sz w:val="24"/>
        </w:rPr>
        <w:t> </w:t>
      </w:r>
      <w:r>
        <w:rPr>
          <w:sz w:val="24"/>
        </w:rPr>
        <w:t>n’est</w:t>
      </w:r>
      <w:r>
        <w:rPr>
          <w:spacing w:val="-1"/>
          <w:sz w:val="24"/>
        </w:rPr>
        <w:t> </w:t>
      </w:r>
      <w:r>
        <w:rPr>
          <w:sz w:val="24"/>
        </w:rPr>
        <w:t>pas</w:t>
      </w:r>
      <w:r>
        <w:rPr>
          <w:spacing w:val="-1"/>
          <w:sz w:val="24"/>
        </w:rPr>
        <w:t> </w:t>
      </w:r>
      <w:r>
        <w:rPr>
          <w:sz w:val="24"/>
        </w:rPr>
        <w:t>stylisé</w:t>
      </w:r>
      <w:r>
        <w:rPr>
          <w:spacing w:val="-2"/>
          <w:sz w:val="24"/>
        </w:rPr>
        <w:t> </w:t>
      </w:r>
      <w:r>
        <w:rPr>
          <w:sz w:val="24"/>
        </w:rPr>
        <w:t>ou n’est que légèrement stylisé.</w:t>
      </w:r>
    </w:p>
    <w:p>
      <w:pPr>
        <w:pStyle w:val="ListParagraph"/>
        <w:numPr>
          <w:ilvl w:val="0"/>
          <w:numId w:val="1"/>
        </w:numPr>
        <w:tabs>
          <w:tab w:pos="590" w:val="left" w:leader="none"/>
        </w:tabs>
        <w:spacing w:line="240" w:lineRule="auto" w:before="241" w:after="0"/>
        <w:ind w:left="590" w:right="166" w:hanging="425"/>
        <w:jc w:val="both"/>
        <w:rPr>
          <w:sz w:val="24"/>
        </w:rPr>
      </w:pPr>
      <w:r>
        <w:rPr>
          <w:sz w:val="24"/>
        </w:rPr>
        <w:t>Par conséquent, en l’espèce, la marque antérieure «no 5», n’étant pas du tout stylisée et représentant directement un chiffre en tant que tel («chiffre 5»), possède un caractère distinctif intrinsèque faible.</w:t>
      </w:r>
    </w:p>
    <w:p>
      <w:pPr>
        <w:pStyle w:val="ListParagraph"/>
        <w:numPr>
          <w:ilvl w:val="0"/>
          <w:numId w:val="1"/>
        </w:numPr>
        <w:tabs>
          <w:tab w:pos="590" w:val="left" w:leader="none"/>
        </w:tabs>
        <w:spacing w:line="240" w:lineRule="auto" w:before="240" w:after="0"/>
        <w:ind w:left="590" w:right="157" w:hanging="425"/>
        <w:jc w:val="both"/>
        <w:rPr>
          <w:sz w:val="24"/>
        </w:rPr>
      </w:pPr>
      <w:r>
        <w:rPr>
          <w:sz w:val="24"/>
        </w:rPr>
        <w:t>Le signe contesté représente le nombre «5» avec une ligne supérieure qui représente un élément</w:t>
      </w:r>
      <w:r>
        <w:rPr>
          <w:spacing w:val="-14"/>
          <w:sz w:val="24"/>
        </w:rPr>
        <w:t> </w:t>
      </w:r>
      <w:r>
        <w:rPr>
          <w:sz w:val="24"/>
        </w:rPr>
        <w:t>supplémentaire.</w:t>
      </w:r>
      <w:r>
        <w:rPr>
          <w:spacing w:val="-12"/>
          <w:sz w:val="24"/>
        </w:rPr>
        <w:t> </w:t>
      </w:r>
      <w:r>
        <w:rPr>
          <w:sz w:val="24"/>
        </w:rPr>
        <w:t>Cette</w:t>
      </w:r>
      <w:r>
        <w:rPr>
          <w:spacing w:val="-15"/>
          <w:sz w:val="24"/>
        </w:rPr>
        <w:t> </w:t>
      </w:r>
      <w:r>
        <w:rPr>
          <w:sz w:val="24"/>
        </w:rPr>
        <w:t>fusion</w:t>
      </w:r>
      <w:r>
        <w:rPr>
          <w:spacing w:val="-14"/>
          <w:sz w:val="24"/>
        </w:rPr>
        <w:t> </w:t>
      </w:r>
      <w:r>
        <w:rPr>
          <w:sz w:val="24"/>
        </w:rPr>
        <w:t>d’éléments,</w:t>
      </w:r>
      <w:r>
        <w:rPr>
          <w:spacing w:val="-11"/>
          <w:sz w:val="24"/>
        </w:rPr>
        <w:t> </w:t>
      </w:r>
      <w:r>
        <w:rPr>
          <w:sz w:val="24"/>
        </w:rPr>
        <w:t>bien</w:t>
      </w:r>
      <w:r>
        <w:rPr>
          <w:spacing w:val="-15"/>
          <w:sz w:val="24"/>
        </w:rPr>
        <w:t> </w:t>
      </w:r>
      <w:r>
        <w:rPr>
          <w:sz w:val="24"/>
        </w:rPr>
        <w:t>que</w:t>
      </w:r>
      <w:r>
        <w:rPr>
          <w:spacing w:val="-15"/>
          <w:sz w:val="24"/>
        </w:rPr>
        <w:t> </w:t>
      </w:r>
      <w:r>
        <w:rPr>
          <w:sz w:val="24"/>
        </w:rPr>
        <w:t>légèrement</w:t>
      </w:r>
      <w:r>
        <w:rPr>
          <w:spacing w:val="-14"/>
          <w:sz w:val="24"/>
        </w:rPr>
        <w:t> </w:t>
      </w:r>
      <w:r>
        <w:rPr>
          <w:sz w:val="24"/>
        </w:rPr>
        <w:t>stylisés,</w:t>
      </w:r>
      <w:r>
        <w:rPr>
          <w:spacing w:val="-14"/>
          <w:sz w:val="24"/>
        </w:rPr>
        <w:t> </w:t>
      </w:r>
      <w:r>
        <w:rPr>
          <w:sz w:val="24"/>
        </w:rPr>
        <w:t>n’empêche pas les consommateurs de reconnaître clairement le nombre «5». Les consommateurs interpréteront</w:t>
      </w:r>
      <w:r>
        <w:rPr>
          <w:spacing w:val="-9"/>
          <w:sz w:val="24"/>
        </w:rPr>
        <w:t> </w:t>
      </w:r>
      <w:r>
        <w:rPr>
          <w:sz w:val="24"/>
        </w:rPr>
        <w:t>le</w:t>
      </w:r>
      <w:r>
        <w:rPr>
          <w:spacing w:val="-10"/>
          <w:sz w:val="24"/>
        </w:rPr>
        <w:t> </w:t>
      </w:r>
      <w:r>
        <w:rPr>
          <w:sz w:val="24"/>
        </w:rPr>
        <w:t>signe</w:t>
      </w:r>
      <w:r>
        <w:rPr>
          <w:spacing w:val="-10"/>
          <w:sz w:val="24"/>
        </w:rPr>
        <w:t> </w:t>
      </w:r>
      <w:r>
        <w:rPr>
          <w:sz w:val="24"/>
        </w:rPr>
        <w:t>contesté</w:t>
      </w:r>
      <w:r>
        <w:rPr>
          <w:spacing w:val="-10"/>
          <w:sz w:val="24"/>
        </w:rPr>
        <w:t> </w:t>
      </w:r>
      <w:r>
        <w:rPr>
          <w:sz w:val="24"/>
        </w:rPr>
        <w:t>comme</w:t>
      </w:r>
      <w:r>
        <w:rPr>
          <w:spacing w:val="-10"/>
          <w:sz w:val="24"/>
        </w:rPr>
        <w:t> </w:t>
      </w:r>
      <w:r>
        <w:rPr>
          <w:sz w:val="24"/>
        </w:rPr>
        <w:t>représentant</w:t>
      </w:r>
      <w:r>
        <w:rPr>
          <w:spacing w:val="-6"/>
          <w:sz w:val="24"/>
        </w:rPr>
        <w:t> </w:t>
      </w:r>
      <w:r>
        <w:rPr>
          <w:sz w:val="24"/>
        </w:rPr>
        <w:t>«m5»</w:t>
      </w:r>
      <w:r>
        <w:rPr>
          <w:spacing w:val="-13"/>
          <w:sz w:val="24"/>
        </w:rPr>
        <w:t> </w:t>
      </w:r>
      <w:r>
        <w:rPr>
          <w:sz w:val="24"/>
        </w:rPr>
        <w:t>ou</w:t>
      </w:r>
      <w:r>
        <w:rPr>
          <w:spacing w:val="-4"/>
          <w:sz w:val="24"/>
        </w:rPr>
        <w:t> </w:t>
      </w:r>
      <w:r>
        <w:rPr>
          <w:sz w:val="24"/>
        </w:rPr>
        <w:t>«n5».</w:t>
      </w:r>
      <w:r>
        <w:rPr>
          <w:spacing w:val="-5"/>
          <w:sz w:val="24"/>
        </w:rPr>
        <w:t> </w:t>
      </w:r>
      <w:r>
        <w:rPr>
          <w:sz w:val="24"/>
        </w:rPr>
        <w:t>Il</w:t>
      </w:r>
      <w:r>
        <w:rPr>
          <w:spacing w:val="-9"/>
          <w:sz w:val="24"/>
        </w:rPr>
        <w:t> </w:t>
      </w:r>
      <w:r>
        <w:rPr>
          <w:sz w:val="24"/>
        </w:rPr>
        <w:t>s’ensuit</w:t>
      </w:r>
      <w:r>
        <w:rPr>
          <w:spacing w:val="-9"/>
          <w:sz w:val="24"/>
        </w:rPr>
        <w:t> </w:t>
      </w:r>
      <w:r>
        <w:rPr>
          <w:sz w:val="24"/>
        </w:rPr>
        <w:t>que</w:t>
      </w:r>
      <w:r>
        <w:rPr>
          <w:spacing w:val="-10"/>
          <w:sz w:val="24"/>
        </w:rPr>
        <w:t> </w:t>
      </w:r>
      <w:r>
        <w:rPr>
          <w:sz w:val="24"/>
        </w:rPr>
        <w:t>le</w:t>
      </w:r>
      <w:r>
        <w:rPr>
          <w:spacing w:val="-10"/>
          <w:sz w:val="24"/>
        </w:rPr>
        <w:t> </w:t>
      </w:r>
      <w:r>
        <w:rPr>
          <w:sz w:val="24"/>
        </w:rPr>
        <w:t>signe contesté dans son ensemble possède également un caractère distinctif intrinsèque faible.</w:t>
      </w:r>
    </w:p>
    <w:p>
      <w:pPr>
        <w:pStyle w:val="ListParagraph"/>
        <w:numPr>
          <w:ilvl w:val="0"/>
          <w:numId w:val="1"/>
        </w:numPr>
        <w:tabs>
          <w:tab w:pos="590" w:val="left" w:leader="none"/>
        </w:tabs>
        <w:spacing w:line="240" w:lineRule="auto" w:before="240" w:after="0"/>
        <w:ind w:left="590" w:right="167" w:hanging="425"/>
        <w:jc w:val="both"/>
        <w:rPr>
          <w:sz w:val="24"/>
        </w:rPr>
      </w:pPr>
      <w:r>
        <w:rPr>
          <w:sz w:val="24"/>
        </w:rPr>
        <w:t>C’est à la lumière de ces considérations qu’il y</w:t>
      </w:r>
      <w:r>
        <w:rPr>
          <w:spacing w:val="-3"/>
          <w:sz w:val="24"/>
        </w:rPr>
        <w:t> </w:t>
      </w:r>
      <w:r>
        <w:rPr>
          <w:sz w:val="24"/>
        </w:rPr>
        <w:t>a lieu d’apprécier les similitudes entre les signes comparés.</w:t>
      </w:r>
    </w:p>
    <w:p>
      <w:pPr>
        <w:pStyle w:val="ListParagraph"/>
        <w:numPr>
          <w:ilvl w:val="0"/>
          <w:numId w:val="1"/>
        </w:numPr>
        <w:tabs>
          <w:tab w:pos="590" w:val="left" w:leader="none"/>
        </w:tabs>
        <w:spacing w:line="240" w:lineRule="auto" w:before="240" w:after="0"/>
        <w:ind w:left="590" w:right="162" w:hanging="425"/>
        <w:jc w:val="both"/>
        <w:rPr>
          <w:sz w:val="24"/>
        </w:rPr>
      </w:pPr>
      <w:r>
        <w:rPr>
          <w:b/>
          <w:sz w:val="24"/>
        </w:rPr>
        <w:t>Sur</w:t>
      </w:r>
      <w:r>
        <w:rPr>
          <w:b/>
          <w:spacing w:val="-13"/>
          <w:sz w:val="24"/>
        </w:rPr>
        <w:t> </w:t>
      </w:r>
      <w:r>
        <w:rPr>
          <w:b/>
          <w:sz w:val="24"/>
        </w:rPr>
        <w:t>le</w:t>
      </w:r>
      <w:r>
        <w:rPr>
          <w:b/>
          <w:spacing w:val="-13"/>
          <w:sz w:val="24"/>
        </w:rPr>
        <w:t> </w:t>
      </w:r>
      <w:r>
        <w:rPr>
          <w:b/>
          <w:sz w:val="24"/>
        </w:rPr>
        <w:t>plan</w:t>
      </w:r>
      <w:r>
        <w:rPr>
          <w:b/>
          <w:spacing w:val="-11"/>
          <w:sz w:val="24"/>
        </w:rPr>
        <w:t> </w:t>
      </w:r>
      <w:r>
        <w:rPr>
          <w:b/>
          <w:sz w:val="24"/>
        </w:rPr>
        <w:t>visuel</w:t>
      </w:r>
      <w:r>
        <w:rPr>
          <w:sz w:val="24"/>
        </w:rPr>
        <w:t>,</w:t>
      </w:r>
      <w:r>
        <w:rPr>
          <w:spacing w:val="-12"/>
          <w:sz w:val="24"/>
        </w:rPr>
        <w:t> </w:t>
      </w:r>
      <w:r>
        <w:rPr>
          <w:sz w:val="24"/>
        </w:rPr>
        <w:t>les</w:t>
      </w:r>
      <w:r>
        <w:rPr>
          <w:spacing w:val="-12"/>
          <w:sz w:val="24"/>
        </w:rPr>
        <w:t> </w:t>
      </w:r>
      <w:r>
        <w:rPr>
          <w:sz w:val="24"/>
        </w:rPr>
        <w:t>signes</w:t>
      </w:r>
      <w:r>
        <w:rPr>
          <w:spacing w:val="-12"/>
          <w:sz w:val="24"/>
        </w:rPr>
        <w:t> </w:t>
      </w:r>
      <w:r>
        <w:rPr>
          <w:sz w:val="24"/>
        </w:rPr>
        <w:t>sont</w:t>
      </w:r>
      <w:r>
        <w:rPr>
          <w:spacing w:val="-12"/>
          <w:sz w:val="24"/>
        </w:rPr>
        <w:t> </w:t>
      </w:r>
      <w:r>
        <w:rPr>
          <w:sz w:val="24"/>
        </w:rPr>
        <w:t>très</w:t>
      </w:r>
      <w:r>
        <w:rPr>
          <w:spacing w:val="-12"/>
          <w:sz w:val="24"/>
        </w:rPr>
        <w:t> </w:t>
      </w:r>
      <w:r>
        <w:rPr>
          <w:sz w:val="24"/>
        </w:rPr>
        <w:t>similaires.</w:t>
      </w:r>
      <w:r>
        <w:rPr>
          <w:spacing w:val="-9"/>
          <w:sz w:val="24"/>
        </w:rPr>
        <w:t> </w:t>
      </w:r>
      <w:r>
        <w:rPr>
          <w:sz w:val="24"/>
        </w:rPr>
        <w:t>Les</w:t>
      </w:r>
      <w:r>
        <w:rPr>
          <w:spacing w:val="-12"/>
          <w:sz w:val="24"/>
        </w:rPr>
        <w:t> </w:t>
      </w:r>
      <w:r>
        <w:rPr>
          <w:sz w:val="24"/>
        </w:rPr>
        <w:t>signes</w:t>
      </w:r>
      <w:r>
        <w:rPr>
          <w:spacing w:val="-12"/>
          <w:sz w:val="24"/>
        </w:rPr>
        <w:t> </w:t>
      </w:r>
      <w:r>
        <w:rPr>
          <w:sz w:val="24"/>
        </w:rPr>
        <w:t>sont</w:t>
      </w:r>
      <w:r>
        <w:rPr>
          <w:spacing w:val="-12"/>
          <w:sz w:val="24"/>
        </w:rPr>
        <w:t> </w:t>
      </w:r>
      <w:r>
        <w:rPr>
          <w:sz w:val="24"/>
        </w:rPr>
        <w:t>similaires</w:t>
      </w:r>
      <w:r>
        <w:rPr>
          <w:spacing w:val="-9"/>
          <w:sz w:val="24"/>
        </w:rPr>
        <w:t> </w:t>
      </w:r>
      <w:r>
        <w:rPr>
          <w:sz w:val="24"/>
        </w:rPr>
        <w:t>dans</w:t>
      </w:r>
      <w:r>
        <w:rPr>
          <w:spacing w:val="-12"/>
          <w:sz w:val="24"/>
        </w:rPr>
        <w:t> </w:t>
      </w:r>
      <w:r>
        <w:rPr>
          <w:sz w:val="24"/>
        </w:rPr>
        <w:t>la</w:t>
      </w:r>
      <w:r>
        <w:rPr>
          <w:spacing w:val="-13"/>
          <w:sz w:val="24"/>
        </w:rPr>
        <w:t> </w:t>
      </w:r>
      <w:r>
        <w:rPr>
          <w:sz w:val="24"/>
        </w:rPr>
        <w:t>mesure où ils se composent du même chiffre unique, à savoir le chiffre 5, qui est clairement identifiable</w:t>
      </w:r>
      <w:r>
        <w:rPr>
          <w:spacing w:val="-11"/>
          <w:sz w:val="24"/>
        </w:rPr>
        <w:t> </w:t>
      </w:r>
      <w:r>
        <w:rPr>
          <w:sz w:val="24"/>
        </w:rPr>
        <w:t>dans</w:t>
      </w:r>
      <w:r>
        <w:rPr>
          <w:spacing w:val="-10"/>
          <w:sz w:val="24"/>
        </w:rPr>
        <w:t> </w:t>
      </w:r>
      <w:r>
        <w:rPr>
          <w:sz w:val="24"/>
        </w:rPr>
        <w:t>les</w:t>
      </w:r>
      <w:r>
        <w:rPr>
          <w:spacing w:val="-11"/>
          <w:sz w:val="24"/>
        </w:rPr>
        <w:t> </w:t>
      </w:r>
      <w:r>
        <w:rPr>
          <w:sz w:val="24"/>
        </w:rPr>
        <w:t>deux</w:t>
      </w:r>
      <w:r>
        <w:rPr>
          <w:spacing w:val="-9"/>
          <w:sz w:val="24"/>
        </w:rPr>
        <w:t> </w:t>
      </w:r>
      <w:r>
        <w:rPr>
          <w:sz w:val="24"/>
        </w:rPr>
        <w:t>signes,</w:t>
      </w:r>
      <w:r>
        <w:rPr>
          <w:spacing w:val="-8"/>
          <w:sz w:val="24"/>
        </w:rPr>
        <w:t> </w:t>
      </w:r>
      <w:r>
        <w:rPr>
          <w:sz w:val="24"/>
        </w:rPr>
        <w:t>et</w:t>
      </w:r>
      <w:r>
        <w:rPr>
          <w:spacing w:val="-10"/>
          <w:sz w:val="24"/>
        </w:rPr>
        <w:t> </w:t>
      </w:r>
      <w:r>
        <w:rPr>
          <w:sz w:val="24"/>
        </w:rPr>
        <w:t>la</w:t>
      </w:r>
      <w:r>
        <w:rPr>
          <w:spacing w:val="-11"/>
          <w:sz w:val="24"/>
        </w:rPr>
        <w:t> </w:t>
      </w:r>
      <w:r>
        <w:rPr>
          <w:sz w:val="24"/>
        </w:rPr>
        <w:t>marque</w:t>
      </w:r>
      <w:r>
        <w:rPr>
          <w:spacing w:val="-10"/>
          <w:sz w:val="24"/>
        </w:rPr>
        <w:t> </w:t>
      </w:r>
      <w:r>
        <w:rPr>
          <w:sz w:val="24"/>
        </w:rPr>
        <w:t>antérieure</w:t>
      </w:r>
      <w:r>
        <w:rPr>
          <w:spacing w:val="-10"/>
          <w:sz w:val="24"/>
        </w:rPr>
        <w:t> </w:t>
      </w:r>
      <w:r>
        <w:rPr>
          <w:sz w:val="24"/>
        </w:rPr>
        <w:t>coïncide</w:t>
      </w:r>
      <w:r>
        <w:rPr>
          <w:spacing w:val="-9"/>
          <w:sz w:val="24"/>
        </w:rPr>
        <w:t> </w:t>
      </w:r>
      <w:r>
        <w:rPr>
          <w:sz w:val="24"/>
        </w:rPr>
        <w:t>également</w:t>
      </w:r>
      <w:r>
        <w:rPr>
          <w:spacing w:val="-10"/>
          <w:sz w:val="24"/>
        </w:rPr>
        <w:t> </w:t>
      </w:r>
      <w:r>
        <w:rPr>
          <w:sz w:val="24"/>
        </w:rPr>
        <w:t>par</w:t>
      </w:r>
      <w:r>
        <w:rPr>
          <w:spacing w:val="-11"/>
          <w:sz w:val="24"/>
        </w:rPr>
        <w:t> </w:t>
      </w:r>
      <w:r>
        <w:rPr>
          <w:sz w:val="24"/>
        </w:rPr>
        <w:t>l’élément verbal «n» avec le signe contesté. Les signes diffèrent légèrement par leur stylisation graphique,</w:t>
      </w:r>
      <w:r>
        <w:rPr>
          <w:spacing w:val="-14"/>
          <w:sz w:val="24"/>
        </w:rPr>
        <w:t> </w:t>
      </w:r>
      <w:r>
        <w:rPr>
          <w:sz w:val="24"/>
        </w:rPr>
        <w:t>à</w:t>
      </w:r>
      <w:r>
        <w:rPr>
          <w:spacing w:val="-14"/>
          <w:sz w:val="24"/>
        </w:rPr>
        <w:t> </w:t>
      </w:r>
      <w:r>
        <w:rPr>
          <w:sz w:val="24"/>
        </w:rPr>
        <w:t>savoir</w:t>
      </w:r>
      <w:r>
        <w:rPr>
          <w:spacing w:val="-13"/>
          <w:sz w:val="24"/>
        </w:rPr>
        <w:t> </w:t>
      </w:r>
      <w:r>
        <w:rPr>
          <w:sz w:val="24"/>
        </w:rPr>
        <w:t>que</w:t>
      </w:r>
      <w:r>
        <w:rPr>
          <w:spacing w:val="-14"/>
          <w:sz w:val="24"/>
        </w:rPr>
        <w:t> </w:t>
      </w:r>
      <w:r>
        <w:rPr>
          <w:sz w:val="24"/>
        </w:rPr>
        <w:t>la</w:t>
      </w:r>
      <w:r>
        <w:rPr>
          <w:spacing w:val="-11"/>
          <w:sz w:val="24"/>
        </w:rPr>
        <w:t> </w:t>
      </w:r>
      <w:r>
        <w:rPr>
          <w:sz w:val="24"/>
        </w:rPr>
        <w:t>marque</w:t>
      </w:r>
      <w:r>
        <w:rPr>
          <w:spacing w:val="-14"/>
          <w:sz w:val="24"/>
        </w:rPr>
        <w:t> </w:t>
      </w:r>
      <w:r>
        <w:rPr>
          <w:sz w:val="24"/>
        </w:rPr>
        <w:t>antérieure</w:t>
      </w:r>
      <w:r>
        <w:rPr>
          <w:spacing w:val="-15"/>
          <w:sz w:val="24"/>
        </w:rPr>
        <w:t> </w:t>
      </w:r>
      <w:r>
        <w:rPr>
          <w:sz w:val="24"/>
        </w:rPr>
        <w:t>contient</w:t>
      </w:r>
      <w:r>
        <w:rPr>
          <w:spacing w:val="-13"/>
          <w:sz w:val="24"/>
        </w:rPr>
        <w:t> </w:t>
      </w:r>
      <w:r>
        <w:rPr>
          <w:sz w:val="24"/>
        </w:rPr>
        <w:t>également</w:t>
      </w:r>
      <w:r>
        <w:rPr>
          <w:spacing w:val="-13"/>
          <w:sz w:val="24"/>
        </w:rPr>
        <w:t> </w:t>
      </w:r>
      <w:r>
        <w:rPr>
          <w:sz w:val="24"/>
        </w:rPr>
        <w:t>le</w:t>
      </w:r>
      <w:r>
        <w:rPr>
          <w:spacing w:val="-14"/>
          <w:sz w:val="24"/>
        </w:rPr>
        <w:t> </w:t>
      </w:r>
      <w:r>
        <w:rPr>
          <w:sz w:val="24"/>
        </w:rPr>
        <w:t>symbole</w:t>
      </w:r>
      <w:r>
        <w:rPr>
          <w:spacing w:val="-12"/>
          <w:sz w:val="24"/>
        </w:rPr>
        <w:t> </w:t>
      </w:r>
      <w:r>
        <w:rPr>
          <w:sz w:val="24"/>
        </w:rPr>
        <w:t>«°»,</w:t>
      </w:r>
      <w:r>
        <w:rPr>
          <w:spacing w:val="-11"/>
          <w:sz w:val="24"/>
        </w:rPr>
        <w:t> </w:t>
      </w:r>
      <w:r>
        <w:rPr>
          <w:sz w:val="24"/>
        </w:rPr>
        <w:t>et</w:t>
      </w:r>
      <w:r>
        <w:rPr>
          <w:spacing w:val="-13"/>
          <w:sz w:val="24"/>
        </w:rPr>
        <w:t> </w:t>
      </w:r>
      <w:r>
        <w:rPr>
          <w:sz w:val="24"/>
        </w:rPr>
        <w:t>le</w:t>
      </w:r>
      <w:r>
        <w:rPr>
          <w:spacing w:val="-14"/>
          <w:sz w:val="24"/>
        </w:rPr>
        <w:t> </w:t>
      </w:r>
      <w:r>
        <w:rPr>
          <w:sz w:val="24"/>
        </w:rPr>
        <w:t>signe contesté présente une légère représentation graphique, produite par la fusion de ses </w:t>
      </w:r>
      <w:r>
        <w:rPr>
          <w:spacing w:val="-2"/>
          <w:sz w:val="24"/>
        </w:rPr>
        <w:t>éléments.</w:t>
      </w:r>
    </w:p>
    <w:p>
      <w:pPr>
        <w:pStyle w:val="ListParagraph"/>
        <w:numPr>
          <w:ilvl w:val="0"/>
          <w:numId w:val="1"/>
        </w:numPr>
        <w:tabs>
          <w:tab w:pos="590" w:val="left" w:leader="none"/>
        </w:tabs>
        <w:spacing w:line="240" w:lineRule="auto" w:before="241" w:after="0"/>
        <w:ind w:left="590" w:right="161" w:hanging="425"/>
        <w:jc w:val="both"/>
        <w:rPr>
          <w:sz w:val="24"/>
        </w:rPr>
      </w:pPr>
      <w:r>
        <w:rPr>
          <w:b/>
          <w:sz w:val="24"/>
        </w:rPr>
        <w:t>Sur le plan phonétique, </w:t>
      </w:r>
      <w:r>
        <w:rPr>
          <w:sz w:val="24"/>
        </w:rPr>
        <w:t>les signes sont similaires à un degré moyen dans l’ensemble, étant donné que la marque antérieure et le signe contesté seront prononcés de la même manière que les représentations du chiffre 5, et le «No» (prononcé comme numéro</w:t>
      </w:r>
      <w:r>
        <w:rPr>
          <w:i/>
          <w:sz w:val="24"/>
        </w:rPr>
        <w:t>)</w:t>
      </w:r>
      <w:r>
        <w:rPr>
          <w:sz w:val="24"/>
        </w:rPr>
        <w:t>rapprochera les signes sur le plan phonétique pour la partie non-négligeable du public qui percevra un «n» dans le signe contesté. Les signes auront un rythme différent dans leur prononciation (</w:t>
      </w:r>
      <w:r>
        <w:rPr>
          <w:i/>
          <w:sz w:val="24"/>
        </w:rPr>
        <w:t>numéro cinq/n cinq)</w:t>
      </w:r>
      <w:r>
        <w:rPr>
          <w:sz w:val="24"/>
        </w:rPr>
        <w:t>.</w:t>
      </w:r>
    </w:p>
    <w:p>
      <w:pPr>
        <w:pStyle w:val="ListParagraph"/>
        <w:numPr>
          <w:ilvl w:val="0"/>
          <w:numId w:val="1"/>
        </w:numPr>
        <w:tabs>
          <w:tab w:pos="590" w:val="left" w:leader="none"/>
        </w:tabs>
        <w:spacing w:line="240" w:lineRule="auto" w:before="240" w:after="0"/>
        <w:ind w:left="590" w:right="163" w:hanging="425"/>
        <w:jc w:val="both"/>
        <w:rPr>
          <w:sz w:val="24"/>
        </w:rPr>
      </w:pPr>
      <w:r>
        <w:rPr>
          <w:b/>
          <w:sz w:val="24"/>
        </w:rPr>
        <w:t>Sur le plan conceptuel, </w:t>
      </w:r>
      <w:r>
        <w:rPr>
          <w:sz w:val="24"/>
        </w:rPr>
        <w:t>les signes sont identiques, car le chiffre 5 commun a une signification spécifique en ce qui concerne les produits compris dans la classe 3 (cosmétiques),</w:t>
      </w:r>
      <w:r>
        <w:rPr>
          <w:spacing w:val="-15"/>
          <w:sz w:val="24"/>
        </w:rPr>
        <w:t> </w:t>
      </w:r>
      <w:r>
        <w:rPr>
          <w:sz w:val="24"/>
        </w:rPr>
        <w:t>étant</w:t>
      </w:r>
      <w:r>
        <w:rPr>
          <w:spacing w:val="-14"/>
          <w:sz w:val="24"/>
        </w:rPr>
        <w:t> </w:t>
      </w:r>
      <w:r>
        <w:rPr>
          <w:sz w:val="24"/>
        </w:rPr>
        <w:t>perçus</w:t>
      </w:r>
      <w:r>
        <w:rPr>
          <w:spacing w:val="-15"/>
          <w:sz w:val="24"/>
        </w:rPr>
        <w:t> </w:t>
      </w:r>
      <w:r>
        <w:rPr>
          <w:sz w:val="24"/>
        </w:rPr>
        <w:t>comme</w:t>
      </w:r>
      <w:r>
        <w:rPr>
          <w:spacing w:val="-15"/>
          <w:sz w:val="24"/>
        </w:rPr>
        <w:t> </w:t>
      </w:r>
      <w:r>
        <w:rPr>
          <w:sz w:val="24"/>
        </w:rPr>
        <w:t>un</w:t>
      </w:r>
      <w:r>
        <w:rPr>
          <w:spacing w:val="-13"/>
          <w:sz w:val="24"/>
        </w:rPr>
        <w:t> </w:t>
      </w:r>
      <w:r>
        <w:rPr>
          <w:sz w:val="24"/>
        </w:rPr>
        <w:t>numéro</w:t>
      </w:r>
      <w:r>
        <w:rPr>
          <w:spacing w:val="-13"/>
          <w:sz w:val="24"/>
        </w:rPr>
        <w:t> </w:t>
      </w:r>
      <w:r>
        <w:rPr>
          <w:sz w:val="24"/>
        </w:rPr>
        <w:t>de</w:t>
      </w:r>
      <w:r>
        <w:rPr>
          <w:spacing w:val="-14"/>
          <w:sz w:val="24"/>
        </w:rPr>
        <w:t> </w:t>
      </w:r>
      <w:r>
        <w:rPr>
          <w:sz w:val="24"/>
        </w:rPr>
        <w:t>série</w:t>
      </w:r>
      <w:r>
        <w:rPr>
          <w:spacing w:val="-15"/>
          <w:sz w:val="24"/>
        </w:rPr>
        <w:t> </w:t>
      </w:r>
      <w:r>
        <w:rPr>
          <w:sz w:val="24"/>
        </w:rPr>
        <w:t>ou</w:t>
      </w:r>
      <w:r>
        <w:rPr>
          <w:spacing w:val="-13"/>
          <w:sz w:val="24"/>
        </w:rPr>
        <w:t> </w:t>
      </w:r>
      <w:r>
        <w:rPr>
          <w:sz w:val="24"/>
        </w:rPr>
        <w:t>comme</w:t>
      </w:r>
      <w:r>
        <w:rPr>
          <w:spacing w:val="-14"/>
          <w:sz w:val="24"/>
        </w:rPr>
        <w:t> </w:t>
      </w:r>
      <w:r>
        <w:rPr>
          <w:sz w:val="24"/>
        </w:rPr>
        <w:t>le</w:t>
      </w:r>
      <w:r>
        <w:rPr>
          <w:spacing w:val="-15"/>
          <w:sz w:val="24"/>
        </w:rPr>
        <w:t> </w:t>
      </w:r>
      <w:r>
        <w:rPr>
          <w:sz w:val="24"/>
        </w:rPr>
        <w:t>numéro</w:t>
      </w:r>
      <w:r>
        <w:rPr>
          <w:spacing w:val="-15"/>
          <w:sz w:val="24"/>
        </w:rPr>
        <w:t> </w:t>
      </w:r>
      <w:r>
        <w:rPr>
          <w:sz w:val="24"/>
        </w:rPr>
        <w:t>d’une</w:t>
      </w:r>
      <w:r>
        <w:rPr>
          <w:spacing w:val="-13"/>
          <w:sz w:val="24"/>
        </w:rPr>
        <w:t> </w:t>
      </w:r>
      <w:r>
        <w:rPr>
          <w:sz w:val="24"/>
        </w:rPr>
        <w:t>gamme de produits.</w:t>
      </w:r>
    </w:p>
    <w:p>
      <w:pPr>
        <w:pStyle w:val="ListParagraph"/>
        <w:numPr>
          <w:ilvl w:val="0"/>
          <w:numId w:val="1"/>
        </w:numPr>
        <w:tabs>
          <w:tab w:pos="590" w:val="left" w:leader="none"/>
        </w:tabs>
        <w:spacing w:line="240" w:lineRule="auto" w:before="240" w:after="0"/>
        <w:ind w:left="590" w:right="165" w:hanging="425"/>
        <w:jc w:val="both"/>
        <w:rPr>
          <w:sz w:val="24"/>
        </w:rPr>
      </w:pPr>
      <w:r>
        <w:rPr>
          <w:sz w:val="24"/>
        </w:rPr>
        <w:t>À</w:t>
      </w:r>
      <w:r>
        <w:rPr>
          <w:spacing w:val="-1"/>
          <w:sz w:val="24"/>
        </w:rPr>
        <w:t> </w:t>
      </w:r>
      <w:r>
        <w:rPr>
          <w:sz w:val="24"/>
        </w:rPr>
        <w:t>la</w:t>
      </w:r>
      <w:r>
        <w:rPr>
          <w:spacing w:val="-1"/>
          <w:sz w:val="24"/>
        </w:rPr>
        <w:t> </w:t>
      </w:r>
      <w:r>
        <w:rPr>
          <w:sz w:val="24"/>
        </w:rPr>
        <w:t>lumière</w:t>
      </w:r>
      <w:r>
        <w:rPr>
          <w:spacing w:val="-1"/>
          <w:sz w:val="24"/>
        </w:rPr>
        <w:t> </w:t>
      </w:r>
      <w:r>
        <w:rPr>
          <w:sz w:val="24"/>
        </w:rPr>
        <w:t>de</w:t>
      </w:r>
      <w:r>
        <w:rPr>
          <w:spacing w:val="-1"/>
          <w:sz w:val="24"/>
        </w:rPr>
        <w:t> </w:t>
      </w:r>
      <w:r>
        <w:rPr>
          <w:sz w:val="24"/>
        </w:rPr>
        <w:t>ce</w:t>
      </w:r>
      <w:r>
        <w:rPr>
          <w:spacing w:val="-1"/>
          <w:sz w:val="24"/>
        </w:rPr>
        <w:t> </w:t>
      </w:r>
      <w:r>
        <w:rPr>
          <w:sz w:val="24"/>
        </w:rPr>
        <w:t>qui précède, les</w:t>
      </w:r>
      <w:r>
        <w:rPr>
          <w:spacing w:val="-1"/>
          <w:sz w:val="24"/>
        </w:rPr>
        <w:t> </w:t>
      </w:r>
      <w:r>
        <w:rPr>
          <w:sz w:val="24"/>
        </w:rPr>
        <w:t>signes en conflit sont très similaires sur</w:t>
      </w:r>
      <w:r>
        <w:rPr>
          <w:spacing w:val="-2"/>
          <w:sz w:val="24"/>
        </w:rPr>
        <w:t> </w:t>
      </w:r>
      <w:r>
        <w:rPr>
          <w:sz w:val="24"/>
        </w:rPr>
        <w:t>le</w:t>
      </w:r>
      <w:r>
        <w:rPr>
          <w:spacing w:val="-1"/>
          <w:sz w:val="24"/>
        </w:rPr>
        <w:t> </w:t>
      </w:r>
      <w:r>
        <w:rPr>
          <w:sz w:val="24"/>
        </w:rPr>
        <w:t>plan</w:t>
      </w:r>
      <w:r>
        <w:rPr>
          <w:spacing w:val="-1"/>
          <w:sz w:val="24"/>
        </w:rPr>
        <w:t> </w:t>
      </w:r>
      <w:r>
        <w:rPr>
          <w:sz w:val="24"/>
        </w:rPr>
        <w:t>visuel, moyennement similaires sur le plan phonétique et identiques sur le plan conceptuel.</w:t>
      </w:r>
    </w:p>
    <w:p>
      <w:pPr>
        <w:pStyle w:val="BodyText"/>
        <w:rPr>
          <w:sz w:val="18"/>
        </w:rPr>
      </w:pPr>
    </w:p>
    <w:p>
      <w:pPr>
        <w:pStyle w:val="BodyText"/>
        <w:spacing w:before="188"/>
        <w:rPr>
          <w:sz w:val="18"/>
        </w:rPr>
      </w:pPr>
    </w:p>
    <w:p>
      <w:pPr>
        <w:spacing w:before="0"/>
        <w:ind w:left="2737" w:right="2738" w:firstLine="0"/>
        <w:jc w:val="center"/>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p>
      <w:pPr>
        <w:spacing w:after="0"/>
        <w:jc w:val="center"/>
        <w:rPr>
          <w:sz w:val="18"/>
        </w:rPr>
        <w:sectPr>
          <w:pgSz w:w="11910" w:h="16840"/>
          <w:pgMar w:header="970" w:footer="0" w:top="1180" w:bottom="280" w:left="1275" w:right="1275"/>
        </w:sectPr>
      </w:pPr>
    </w:p>
    <w:p>
      <w:pPr>
        <w:spacing w:before="249"/>
        <w:ind w:left="590" w:right="164" w:firstLine="0"/>
        <w:jc w:val="left"/>
        <w:rPr>
          <w:i/>
          <w:sz w:val="24"/>
        </w:rPr>
      </w:pPr>
      <w:r>
        <w:rPr>
          <w:i/>
          <w:sz w:val="24"/>
        </w:rPr>
        <mc:AlternateContent>
          <mc:Choice Requires="wps">
            <w:drawing>
              <wp:anchor distT="0" distB="0" distL="0" distR="0" allowOverlap="1" layoutInCell="1" locked="0" behindDoc="0" simplePos="0" relativeHeight="15747072">
                <wp:simplePos x="0" y="0"/>
                <wp:positionH relativeFrom="page">
                  <wp:posOffset>270575</wp:posOffset>
                </wp:positionH>
                <wp:positionV relativeFrom="page">
                  <wp:posOffset>1114363</wp:posOffset>
                </wp:positionV>
                <wp:extent cx="146050" cy="921004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146050" cy="9210040"/>
                        </a:xfrm>
                        <a:prstGeom prst="rect">
                          <a:avLst/>
                        </a:prstGeom>
                      </wps:spPr>
                      <wps:txbx>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wps:txbx>
                      <wps:bodyPr wrap="square" lIns="0" tIns="0" rIns="0" bIns="0" rtlCol="0" vert="vert270">
                        <a:noAutofit/>
                      </wps:bodyPr>
                    </wps:wsp>
                  </a:graphicData>
                </a:graphic>
              </wp:anchor>
            </w:drawing>
          </mc:Choice>
          <mc:Fallback>
            <w:pict>
              <v:shape style="position:absolute;margin-left:21.305176pt;margin-top:87.745193pt;width:11.5pt;height:725.2pt;mso-position-horizontal-relative:page;mso-position-vertical-relative:page;z-index:15747072" type="#_x0000_t202" id="docshape29" filled="false" stroked="false">
                <v:textbox inset="0,0,0,0" style="layout-flow:vertical;mso-layout-flow-alt:bottom-to-top">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v:textbox>
                <w10:wrap type="none"/>
              </v:shape>
            </w:pict>
          </mc:Fallback>
        </mc:AlternateContent>
      </w:r>
      <w:r>
        <w:rPr>
          <w:i/>
          <w:sz w:val="24"/>
        </w:rPr>
        <w:t>Caractère distinctif de la marque antérieure «no 5» — Caractère distinctif accru acquis par l’usage</w:t>
      </w:r>
    </w:p>
    <w:p>
      <w:pPr>
        <w:pStyle w:val="ListParagraph"/>
        <w:numPr>
          <w:ilvl w:val="0"/>
          <w:numId w:val="1"/>
        </w:numPr>
        <w:tabs>
          <w:tab w:pos="590" w:val="left" w:leader="none"/>
        </w:tabs>
        <w:spacing w:line="240" w:lineRule="auto" w:before="240" w:after="0"/>
        <w:ind w:left="590" w:right="159" w:hanging="425"/>
        <w:jc w:val="both"/>
        <w:rPr>
          <w:sz w:val="24"/>
        </w:rPr>
      </w:pPr>
      <w:r>
        <w:rPr>
          <w:sz w:val="24"/>
        </w:rPr>
        <w:t>Il convient de prendre en considération les qualités intrinsèques de la marque, y compris le</w:t>
      </w:r>
      <w:r>
        <w:rPr>
          <w:spacing w:val="-3"/>
          <w:sz w:val="24"/>
        </w:rPr>
        <w:t> </w:t>
      </w:r>
      <w:r>
        <w:rPr>
          <w:sz w:val="24"/>
        </w:rPr>
        <w:t>fait</w:t>
      </w:r>
      <w:r>
        <w:rPr>
          <w:spacing w:val="-3"/>
          <w:sz w:val="24"/>
        </w:rPr>
        <w:t> </w:t>
      </w:r>
      <w:r>
        <w:rPr>
          <w:sz w:val="24"/>
        </w:rPr>
        <w:t>qu’elle</w:t>
      </w:r>
      <w:r>
        <w:rPr>
          <w:spacing w:val="-4"/>
          <w:sz w:val="24"/>
        </w:rPr>
        <w:t> </w:t>
      </w:r>
      <w:r>
        <w:rPr>
          <w:sz w:val="24"/>
        </w:rPr>
        <w:t>contient</w:t>
      </w:r>
      <w:r>
        <w:rPr>
          <w:spacing w:val="-3"/>
          <w:sz w:val="24"/>
        </w:rPr>
        <w:t> </w:t>
      </w:r>
      <w:r>
        <w:rPr>
          <w:sz w:val="24"/>
        </w:rPr>
        <w:t>ou</w:t>
      </w:r>
      <w:r>
        <w:rPr>
          <w:spacing w:val="-3"/>
          <w:sz w:val="24"/>
        </w:rPr>
        <w:t> </w:t>
      </w:r>
      <w:r>
        <w:rPr>
          <w:sz w:val="24"/>
        </w:rPr>
        <w:t>non</w:t>
      </w:r>
      <w:r>
        <w:rPr>
          <w:spacing w:val="-3"/>
          <w:sz w:val="24"/>
        </w:rPr>
        <w:t> </w:t>
      </w:r>
      <w:r>
        <w:rPr>
          <w:sz w:val="24"/>
        </w:rPr>
        <w:t>un</w:t>
      </w:r>
      <w:r>
        <w:rPr>
          <w:spacing w:val="-3"/>
          <w:sz w:val="24"/>
        </w:rPr>
        <w:t> </w:t>
      </w:r>
      <w:r>
        <w:rPr>
          <w:sz w:val="24"/>
        </w:rPr>
        <w:t>élément</w:t>
      </w:r>
      <w:r>
        <w:rPr>
          <w:spacing w:val="-3"/>
          <w:sz w:val="24"/>
        </w:rPr>
        <w:t> </w:t>
      </w:r>
      <w:r>
        <w:rPr>
          <w:sz w:val="24"/>
        </w:rPr>
        <w:t>descriptif</w:t>
      </w:r>
      <w:r>
        <w:rPr>
          <w:spacing w:val="-3"/>
          <w:sz w:val="24"/>
        </w:rPr>
        <w:t> </w:t>
      </w:r>
      <w:r>
        <w:rPr>
          <w:sz w:val="24"/>
        </w:rPr>
        <w:t>des</w:t>
      </w:r>
      <w:r>
        <w:rPr>
          <w:spacing w:val="-4"/>
          <w:sz w:val="24"/>
        </w:rPr>
        <w:t> </w:t>
      </w:r>
      <w:r>
        <w:rPr>
          <w:sz w:val="24"/>
        </w:rPr>
        <w:t>produits</w:t>
      </w:r>
      <w:r>
        <w:rPr>
          <w:spacing w:val="-3"/>
          <w:sz w:val="24"/>
        </w:rPr>
        <w:t> </w:t>
      </w:r>
      <w:r>
        <w:rPr>
          <w:sz w:val="24"/>
        </w:rPr>
        <w:t>ou</w:t>
      </w:r>
      <w:r>
        <w:rPr>
          <w:spacing w:val="-3"/>
          <w:sz w:val="24"/>
        </w:rPr>
        <w:t> </w:t>
      </w:r>
      <w:r>
        <w:rPr>
          <w:sz w:val="24"/>
        </w:rPr>
        <w:t>services</w:t>
      </w:r>
      <w:r>
        <w:rPr>
          <w:spacing w:val="-4"/>
          <w:sz w:val="24"/>
        </w:rPr>
        <w:t> </w:t>
      </w:r>
      <w:r>
        <w:rPr>
          <w:sz w:val="24"/>
        </w:rPr>
        <w:t>pour</w:t>
      </w:r>
      <w:r>
        <w:rPr>
          <w:spacing w:val="-3"/>
          <w:sz w:val="24"/>
        </w:rPr>
        <w:t> </w:t>
      </w:r>
      <w:r>
        <w:rPr>
          <w:sz w:val="24"/>
        </w:rPr>
        <w:t>lesquels elle a été enregistrée, ainsi que d’autres critères, notamment l’intensité, l’étendue géographique et la durée de l’usage de cette marque (22/06/1999,-342/97, Lloyd Schuhfabrik, EU:C:1999:323, §-22).</w:t>
      </w:r>
    </w:p>
    <w:p>
      <w:pPr>
        <w:pStyle w:val="ListParagraph"/>
        <w:numPr>
          <w:ilvl w:val="0"/>
          <w:numId w:val="1"/>
        </w:numPr>
        <w:tabs>
          <w:tab w:pos="590" w:val="left" w:leader="none"/>
        </w:tabs>
        <w:spacing w:line="240" w:lineRule="auto" w:before="240" w:after="0"/>
        <w:ind w:left="590" w:right="159" w:hanging="425"/>
        <w:jc w:val="both"/>
        <w:rPr>
          <w:sz w:val="24"/>
        </w:rPr>
      </w:pPr>
      <w:r>
        <w:rPr>
          <w:sz w:val="24"/>
        </w:rPr>
        <w:t>Pour déterminer le degré de caractère distinctif d’une marque, il y a lieu d’apprécier globalement l’aptitude plus ou moins grande de la marque à identifier les produits ou services</w:t>
      </w:r>
      <w:r>
        <w:rPr>
          <w:spacing w:val="-13"/>
          <w:sz w:val="24"/>
        </w:rPr>
        <w:t> </w:t>
      </w:r>
      <w:r>
        <w:rPr>
          <w:sz w:val="24"/>
        </w:rPr>
        <w:t>pour</w:t>
      </w:r>
      <w:r>
        <w:rPr>
          <w:spacing w:val="-14"/>
          <w:sz w:val="24"/>
        </w:rPr>
        <w:t> </w:t>
      </w:r>
      <w:r>
        <w:rPr>
          <w:sz w:val="24"/>
        </w:rPr>
        <w:t>lesquels</w:t>
      </w:r>
      <w:r>
        <w:rPr>
          <w:spacing w:val="-12"/>
          <w:sz w:val="24"/>
        </w:rPr>
        <w:t> </w:t>
      </w:r>
      <w:r>
        <w:rPr>
          <w:sz w:val="24"/>
        </w:rPr>
        <w:t>elle</w:t>
      </w:r>
      <w:r>
        <w:rPr>
          <w:spacing w:val="-14"/>
          <w:sz w:val="24"/>
        </w:rPr>
        <w:t> </w:t>
      </w:r>
      <w:r>
        <w:rPr>
          <w:sz w:val="24"/>
        </w:rPr>
        <w:t>a</w:t>
      </w:r>
      <w:r>
        <w:rPr>
          <w:spacing w:val="-14"/>
          <w:sz w:val="24"/>
        </w:rPr>
        <w:t> </w:t>
      </w:r>
      <w:r>
        <w:rPr>
          <w:sz w:val="24"/>
        </w:rPr>
        <w:t>été</w:t>
      </w:r>
      <w:r>
        <w:rPr>
          <w:spacing w:val="-14"/>
          <w:sz w:val="24"/>
        </w:rPr>
        <w:t> </w:t>
      </w:r>
      <w:r>
        <w:rPr>
          <w:sz w:val="24"/>
        </w:rPr>
        <w:t>enregistrée</w:t>
      </w:r>
      <w:r>
        <w:rPr>
          <w:spacing w:val="-14"/>
          <w:sz w:val="24"/>
        </w:rPr>
        <w:t> </w:t>
      </w:r>
      <w:r>
        <w:rPr>
          <w:sz w:val="24"/>
        </w:rPr>
        <w:t>comme</w:t>
      </w:r>
      <w:r>
        <w:rPr>
          <w:spacing w:val="-12"/>
          <w:sz w:val="24"/>
        </w:rPr>
        <w:t> </w:t>
      </w:r>
      <w:r>
        <w:rPr>
          <w:sz w:val="24"/>
        </w:rPr>
        <w:t>provenant</w:t>
      </w:r>
      <w:r>
        <w:rPr>
          <w:spacing w:val="-13"/>
          <w:sz w:val="24"/>
        </w:rPr>
        <w:t> </w:t>
      </w:r>
      <w:r>
        <w:rPr>
          <w:sz w:val="24"/>
        </w:rPr>
        <w:t>d’une</w:t>
      </w:r>
      <w:r>
        <w:rPr>
          <w:spacing w:val="-15"/>
          <w:sz w:val="24"/>
        </w:rPr>
        <w:t> </w:t>
      </w:r>
      <w:r>
        <w:rPr>
          <w:sz w:val="24"/>
        </w:rPr>
        <w:t>entreprise</w:t>
      </w:r>
      <w:r>
        <w:rPr>
          <w:spacing w:val="-14"/>
          <w:sz w:val="24"/>
        </w:rPr>
        <w:t> </w:t>
      </w:r>
      <w:r>
        <w:rPr>
          <w:sz w:val="24"/>
        </w:rPr>
        <w:t>déterminée.</w:t>
      </w:r>
    </w:p>
    <w:p>
      <w:pPr>
        <w:pStyle w:val="ListParagraph"/>
        <w:numPr>
          <w:ilvl w:val="0"/>
          <w:numId w:val="1"/>
        </w:numPr>
        <w:tabs>
          <w:tab w:pos="590" w:val="left" w:leader="none"/>
        </w:tabs>
        <w:spacing w:line="240" w:lineRule="auto" w:before="240" w:after="0"/>
        <w:ind w:left="590" w:right="163" w:hanging="425"/>
        <w:jc w:val="both"/>
        <w:rPr>
          <w:sz w:val="24"/>
        </w:rPr>
      </w:pPr>
      <w:r>
        <w:rPr>
          <w:sz w:val="24"/>
        </w:rPr>
        <w:t>En tant que tel, le caractère distinctif d’une marque ne peut être apprécié que, d’une part, par</w:t>
      </w:r>
      <w:r>
        <w:rPr>
          <w:spacing w:val="-12"/>
          <w:sz w:val="24"/>
        </w:rPr>
        <w:t> </w:t>
      </w:r>
      <w:r>
        <w:rPr>
          <w:sz w:val="24"/>
        </w:rPr>
        <w:t>rapport</w:t>
      </w:r>
      <w:r>
        <w:rPr>
          <w:spacing w:val="-12"/>
          <w:sz w:val="24"/>
        </w:rPr>
        <w:t> </w:t>
      </w:r>
      <w:r>
        <w:rPr>
          <w:sz w:val="24"/>
        </w:rPr>
        <w:t>aux</w:t>
      </w:r>
      <w:r>
        <w:rPr>
          <w:spacing w:val="-10"/>
          <w:sz w:val="24"/>
        </w:rPr>
        <w:t> </w:t>
      </w:r>
      <w:r>
        <w:rPr>
          <w:sz w:val="24"/>
        </w:rPr>
        <w:t>produits</w:t>
      </w:r>
      <w:r>
        <w:rPr>
          <w:spacing w:val="-14"/>
          <w:sz w:val="24"/>
        </w:rPr>
        <w:t> </w:t>
      </w:r>
      <w:r>
        <w:rPr>
          <w:sz w:val="24"/>
        </w:rPr>
        <w:t>ou</w:t>
      </w:r>
      <w:r>
        <w:rPr>
          <w:spacing w:val="-12"/>
          <w:sz w:val="24"/>
        </w:rPr>
        <w:t> </w:t>
      </w:r>
      <w:r>
        <w:rPr>
          <w:sz w:val="24"/>
        </w:rPr>
        <w:t>services</w:t>
      </w:r>
      <w:r>
        <w:rPr>
          <w:spacing w:val="-11"/>
          <w:sz w:val="24"/>
        </w:rPr>
        <w:t> </w:t>
      </w:r>
      <w:r>
        <w:rPr>
          <w:sz w:val="24"/>
        </w:rPr>
        <w:t>pour</w:t>
      </w:r>
      <w:r>
        <w:rPr>
          <w:spacing w:val="-12"/>
          <w:sz w:val="24"/>
        </w:rPr>
        <w:t> </w:t>
      </w:r>
      <w:r>
        <w:rPr>
          <w:sz w:val="24"/>
        </w:rPr>
        <w:t>lesquels</w:t>
      </w:r>
      <w:r>
        <w:rPr>
          <w:spacing w:val="-11"/>
          <w:sz w:val="24"/>
        </w:rPr>
        <w:t> </w:t>
      </w:r>
      <w:r>
        <w:rPr>
          <w:sz w:val="24"/>
        </w:rPr>
        <w:t>l’enregistrement</w:t>
      </w:r>
      <w:r>
        <w:rPr>
          <w:spacing w:val="-11"/>
          <w:sz w:val="24"/>
        </w:rPr>
        <w:t> </w:t>
      </w:r>
      <w:r>
        <w:rPr>
          <w:sz w:val="24"/>
        </w:rPr>
        <w:t>est</w:t>
      </w:r>
      <w:r>
        <w:rPr>
          <w:spacing w:val="-11"/>
          <w:sz w:val="24"/>
        </w:rPr>
        <w:t> </w:t>
      </w:r>
      <w:r>
        <w:rPr>
          <w:sz w:val="24"/>
        </w:rPr>
        <w:t>demandé</w:t>
      </w:r>
      <w:r>
        <w:rPr>
          <w:spacing w:val="-13"/>
          <w:sz w:val="24"/>
        </w:rPr>
        <w:t> </w:t>
      </w:r>
      <w:r>
        <w:rPr>
          <w:sz w:val="24"/>
        </w:rPr>
        <w:t>et,</w:t>
      </w:r>
      <w:r>
        <w:rPr>
          <w:spacing w:val="-11"/>
          <w:sz w:val="24"/>
        </w:rPr>
        <w:t> </w:t>
      </w:r>
      <w:r>
        <w:rPr>
          <w:sz w:val="24"/>
        </w:rPr>
        <w:t>d’autre part, par rapport à la façon dont elle est perçue par le public pertinent.</w:t>
      </w:r>
    </w:p>
    <w:p>
      <w:pPr>
        <w:pStyle w:val="ListParagraph"/>
        <w:numPr>
          <w:ilvl w:val="0"/>
          <w:numId w:val="1"/>
        </w:numPr>
        <w:tabs>
          <w:tab w:pos="590" w:val="left" w:leader="none"/>
        </w:tabs>
        <w:spacing w:line="240" w:lineRule="auto" w:before="241" w:after="0"/>
        <w:ind w:left="590" w:right="161" w:hanging="425"/>
        <w:jc w:val="both"/>
        <w:rPr>
          <w:sz w:val="24"/>
        </w:rPr>
      </w:pPr>
      <w:r>
        <w:rPr>
          <w:sz w:val="24"/>
        </w:rPr>
        <w:t>Le législateur a expressément inclus les signes constitués d’un chiffre dans la liste des signes</w:t>
      </w:r>
      <w:r>
        <w:rPr>
          <w:spacing w:val="-5"/>
          <w:sz w:val="24"/>
        </w:rPr>
        <w:t> </w:t>
      </w:r>
      <w:r>
        <w:rPr>
          <w:sz w:val="24"/>
        </w:rPr>
        <w:t>susceptibles</w:t>
      </w:r>
      <w:r>
        <w:rPr>
          <w:spacing w:val="-5"/>
          <w:sz w:val="24"/>
        </w:rPr>
        <w:t> </w:t>
      </w:r>
      <w:r>
        <w:rPr>
          <w:sz w:val="24"/>
        </w:rPr>
        <w:t>de</w:t>
      </w:r>
      <w:r>
        <w:rPr>
          <w:spacing w:val="-3"/>
          <w:sz w:val="24"/>
        </w:rPr>
        <w:t> </w:t>
      </w:r>
      <w:r>
        <w:rPr>
          <w:sz w:val="24"/>
        </w:rPr>
        <w:t>constituer</w:t>
      </w:r>
      <w:r>
        <w:rPr>
          <w:spacing w:val="-6"/>
          <w:sz w:val="24"/>
        </w:rPr>
        <w:t> </w:t>
      </w:r>
      <w:r>
        <w:rPr>
          <w:sz w:val="24"/>
        </w:rPr>
        <w:t>une</w:t>
      </w:r>
      <w:r>
        <w:rPr>
          <w:spacing w:val="-6"/>
          <w:sz w:val="24"/>
        </w:rPr>
        <w:t> </w:t>
      </w:r>
      <w:r>
        <w:rPr>
          <w:sz w:val="24"/>
        </w:rPr>
        <w:t>marque</w:t>
      </w:r>
      <w:r>
        <w:rPr>
          <w:spacing w:val="-6"/>
          <w:sz w:val="24"/>
        </w:rPr>
        <w:t> </w:t>
      </w:r>
      <w:r>
        <w:rPr>
          <w:sz w:val="24"/>
        </w:rPr>
        <w:t>de</w:t>
      </w:r>
      <w:r>
        <w:rPr>
          <w:spacing w:val="-4"/>
          <w:sz w:val="24"/>
        </w:rPr>
        <w:t> </w:t>
      </w:r>
      <w:r>
        <w:rPr>
          <w:sz w:val="24"/>
        </w:rPr>
        <w:t>l’Union</w:t>
      </w:r>
      <w:r>
        <w:rPr>
          <w:spacing w:val="-5"/>
          <w:sz w:val="24"/>
        </w:rPr>
        <w:t> </w:t>
      </w:r>
      <w:r>
        <w:rPr>
          <w:sz w:val="24"/>
        </w:rPr>
        <w:t>européenne,</w:t>
      </w:r>
      <w:r>
        <w:rPr>
          <w:spacing w:val="-5"/>
          <w:sz w:val="24"/>
        </w:rPr>
        <w:t> </w:t>
      </w:r>
      <w:r>
        <w:rPr>
          <w:sz w:val="24"/>
        </w:rPr>
        <w:t>visée</w:t>
      </w:r>
      <w:r>
        <w:rPr>
          <w:spacing w:val="-3"/>
          <w:sz w:val="24"/>
        </w:rPr>
        <w:t> </w:t>
      </w:r>
      <w:r>
        <w:rPr>
          <w:sz w:val="24"/>
        </w:rPr>
        <w:t>à</w:t>
      </w:r>
      <w:r>
        <w:rPr>
          <w:spacing w:val="-6"/>
          <w:sz w:val="24"/>
        </w:rPr>
        <w:t> </w:t>
      </w:r>
      <w:r>
        <w:rPr>
          <w:sz w:val="24"/>
        </w:rPr>
        <w:t>l’article</w:t>
      </w:r>
      <w:r>
        <w:rPr>
          <w:spacing w:val="-2"/>
          <w:sz w:val="24"/>
        </w:rPr>
        <w:t> </w:t>
      </w:r>
      <w:r>
        <w:rPr>
          <w:sz w:val="24"/>
        </w:rPr>
        <w:t>4</w:t>
      </w:r>
      <w:r>
        <w:rPr>
          <w:spacing w:val="-5"/>
          <w:sz w:val="24"/>
        </w:rPr>
        <w:t> </w:t>
      </w:r>
      <w:r>
        <w:rPr>
          <w:sz w:val="24"/>
        </w:rPr>
        <w:t>du RMUE,</w:t>
      </w:r>
      <w:r>
        <w:rPr>
          <w:spacing w:val="-10"/>
          <w:sz w:val="24"/>
        </w:rPr>
        <w:t> </w:t>
      </w:r>
      <w:r>
        <w:rPr>
          <w:sz w:val="24"/>
        </w:rPr>
        <w:t>et</w:t>
      </w:r>
      <w:r>
        <w:rPr>
          <w:spacing w:val="-9"/>
          <w:sz w:val="24"/>
        </w:rPr>
        <w:t> </w:t>
      </w:r>
      <w:r>
        <w:rPr>
          <w:sz w:val="24"/>
        </w:rPr>
        <w:t>les</w:t>
      </w:r>
      <w:r>
        <w:rPr>
          <w:spacing w:val="-10"/>
          <w:sz w:val="24"/>
        </w:rPr>
        <w:t> </w:t>
      </w:r>
      <w:r>
        <w:rPr>
          <w:sz w:val="24"/>
        </w:rPr>
        <w:t>articles</w:t>
      </w:r>
      <w:r>
        <w:rPr>
          <w:spacing w:val="-9"/>
          <w:sz w:val="24"/>
        </w:rPr>
        <w:t> </w:t>
      </w:r>
      <w:r>
        <w:rPr>
          <w:sz w:val="24"/>
        </w:rPr>
        <w:t>7</w:t>
      </w:r>
      <w:r>
        <w:rPr>
          <w:spacing w:val="-10"/>
          <w:sz w:val="24"/>
        </w:rPr>
        <w:t> </w:t>
      </w:r>
      <w:r>
        <w:rPr>
          <w:sz w:val="24"/>
        </w:rPr>
        <w:t>et</w:t>
      </w:r>
      <w:r>
        <w:rPr>
          <w:spacing w:val="-7"/>
          <w:sz w:val="24"/>
        </w:rPr>
        <w:t> </w:t>
      </w:r>
      <w:r>
        <w:rPr>
          <w:sz w:val="24"/>
        </w:rPr>
        <w:t>8</w:t>
      </w:r>
      <w:r>
        <w:rPr>
          <w:spacing w:val="-10"/>
          <w:sz w:val="24"/>
        </w:rPr>
        <w:t> </w:t>
      </w:r>
      <w:r>
        <w:rPr>
          <w:sz w:val="24"/>
        </w:rPr>
        <w:t>du</w:t>
      </w:r>
      <w:r>
        <w:rPr>
          <w:spacing w:val="-10"/>
          <w:sz w:val="24"/>
        </w:rPr>
        <w:t> </w:t>
      </w:r>
      <w:r>
        <w:rPr>
          <w:sz w:val="24"/>
        </w:rPr>
        <w:t>RMUE,</w:t>
      </w:r>
      <w:r>
        <w:rPr>
          <w:spacing w:val="-10"/>
          <w:sz w:val="24"/>
        </w:rPr>
        <w:t> </w:t>
      </w:r>
      <w:r>
        <w:rPr>
          <w:sz w:val="24"/>
        </w:rPr>
        <w:t>relatifs</w:t>
      </w:r>
      <w:r>
        <w:rPr>
          <w:spacing w:val="-7"/>
          <w:sz w:val="24"/>
        </w:rPr>
        <w:t> </w:t>
      </w:r>
      <w:r>
        <w:rPr>
          <w:sz w:val="24"/>
        </w:rPr>
        <w:t>au</w:t>
      </w:r>
      <w:r>
        <w:rPr>
          <w:spacing w:val="-10"/>
          <w:sz w:val="24"/>
        </w:rPr>
        <w:t> </w:t>
      </w:r>
      <w:r>
        <w:rPr>
          <w:sz w:val="24"/>
        </w:rPr>
        <w:t>refus</w:t>
      </w:r>
      <w:r>
        <w:rPr>
          <w:spacing w:val="-10"/>
          <w:sz w:val="24"/>
        </w:rPr>
        <w:t> </w:t>
      </w:r>
      <w:r>
        <w:rPr>
          <w:sz w:val="24"/>
        </w:rPr>
        <w:t>d’enregistrement,</w:t>
      </w:r>
      <w:r>
        <w:rPr>
          <w:spacing w:val="-9"/>
          <w:sz w:val="24"/>
        </w:rPr>
        <w:t> </w:t>
      </w:r>
      <w:r>
        <w:rPr>
          <w:sz w:val="24"/>
        </w:rPr>
        <w:t>ne</w:t>
      </w:r>
      <w:r>
        <w:rPr>
          <w:spacing w:val="-8"/>
          <w:sz w:val="24"/>
        </w:rPr>
        <w:t> </w:t>
      </w:r>
      <w:r>
        <w:rPr>
          <w:sz w:val="24"/>
        </w:rPr>
        <w:t>prévoient</w:t>
      </w:r>
      <w:r>
        <w:rPr>
          <w:spacing w:val="-10"/>
          <w:sz w:val="24"/>
        </w:rPr>
        <w:t> </w:t>
      </w:r>
      <w:r>
        <w:rPr>
          <w:sz w:val="24"/>
        </w:rPr>
        <w:t>pas de règles spécifiques en ce qui concerne les signes constitués d’un seul chiffre. Ainsi, un chiffre est, en soi, de nature à conférer à une marque un caractère distinctif &amp;bra; 25/10/2023,</w:t>
      </w:r>
      <w:r>
        <w:rPr>
          <w:spacing w:val="-13"/>
          <w:sz w:val="24"/>
        </w:rPr>
        <w:t> </w:t>
      </w:r>
      <w:r>
        <w:rPr>
          <w:sz w:val="24"/>
        </w:rPr>
        <w:t>T-458/21,</w:t>
      </w:r>
      <w:r>
        <w:rPr>
          <w:spacing w:val="-13"/>
          <w:sz w:val="24"/>
        </w:rPr>
        <w:t> </w:t>
      </w:r>
      <w:r>
        <w:rPr>
          <w:sz w:val="24"/>
        </w:rPr>
        <w:t>Q</w:t>
      </w:r>
      <w:r>
        <w:rPr>
          <w:spacing w:val="-14"/>
          <w:sz w:val="24"/>
        </w:rPr>
        <w:t> </w:t>
      </w:r>
      <w:r>
        <w:rPr>
          <w:sz w:val="24"/>
        </w:rPr>
        <w:t>(fig.)/Q</w:t>
      </w:r>
      <w:r>
        <w:rPr>
          <w:spacing w:val="-14"/>
          <w:sz w:val="24"/>
        </w:rPr>
        <w:t> </w:t>
      </w:r>
      <w:r>
        <w:rPr>
          <w:sz w:val="24"/>
        </w:rPr>
        <w:t>(fig.),</w:t>
      </w:r>
      <w:r>
        <w:rPr>
          <w:spacing w:val="-14"/>
          <w:sz w:val="24"/>
        </w:rPr>
        <w:t> </w:t>
      </w:r>
      <w:r>
        <w:rPr>
          <w:sz w:val="24"/>
        </w:rPr>
        <w:t>EU:T:2023:671,</w:t>
      </w:r>
      <w:r>
        <w:rPr>
          <w:spacing w:val="-13"/>
          <w:sz w:val="24"/>
        </w:rPr>
        <w:t> </w:t>
      </w:r>
      <w:r>
        <w:rPr>
          <w:sz w:val="24"/>
        </w:rPr>
        <w:t>§</w:t>
      </w:r>
      <w:r>
        <w:rPr>
          <w:spacing w:val="-13"/>
          <w:sz w:val="24"/>
        </w:rPr>
        <w:t> </w:t>
      </w:r>
      <w:r>
        <w:rPr>
          <w:sz w:val="24"/>
        </w:rPr>
        <w:t>65</w:t>
      </w:r>
      <w:r>
        <w:rPr>
          <w:spacing w:val="-13"/>
          <w:sz w:val="24"/>
        </w:rPr>
        <w:t> </w:t>
      </w:r>
      <w:r>
        <w:rPr>
          <w:sz w:val="24"/>
        </w:rPr>
        <w:t>et-jurisprudence</w:t>
      </w:r>
      <w:r>
        <w:rPr>
          <w:spacing w:val="-14"/>
          <w:sz w:val="24"/>
        </w:rPr>
        <w:t> </w:t>
      </w:r>
      <w:r>
        <w:rPr>
          <w:sz w:val="24"/>
        </w:rPr>
        <w:t>citée</w:t>
      </w:r>
      <w:r>
        <w:rPr>
          <w:spacing w:val="-12"/>
          <w:sz w:val="24"/>
        </w:rPr>
        <w:t> </w:t>
      </w:r>
      <w:r>
        <w:rPr>
          <w:sz w:val="24"/>
        </w:rPr>
        <w:t>&amp;ket;.</w:t>
      </w:r>
    </w:p>
    <w:p>
      <w:pPr>
        <w:pStyle w:val="ListParagraph"/>
        <w:numPr>
          <w:ilvl w:val="0"/>
          <w:numId w:val="1"/>
        </w:numPr>
        <w:tabs>
          <w:tab w:pos="590" w:val="left" w:leader="none"/>
        </w:tabs>
        <w:spacing w:line="240" w:lineRule="auto" w:before="240" w:after="0"/>
        <w:ind w:left="590" w:right="162" w:hanging="425"/>
        <w:jc w:val="both"/>
        <w:rPr>
          <w:sz w:val="24"/>
        </w:rPr>
      </w:pPr>
      <w:r>
        <w:rPr>
          <w:sz w:val="24"/>
        </w:rPr>
        <w:t>En l’espèce, l’opposante a expressément fait valoir que la marque antérieure «no 5»</w:t>
      </w:r>
      <w:r>
        <w:rPr>
          <w:spacing w:val="-1"/>
          <w:sz w:val="24"/>
        </w:rPr>
        <w:t> </w:t>
      </w:r>
      <w:r>
        <w:rPr>
          <w:sz w:val="24"/>
        </w:rPr>
        <w:t>était particulièrement distinctive en raison d’un usage intensif ou d’une renommée. Comme déjà indiqué ci-dessus, la division d’opposition a rejeté cette allégation en raison de l’insuffisance des éléments de</w:t>
      </w:r>
      <w:r>
        <w:rPr>
          <w:spacing w:val="-1"/>
          <w:sz w:val="24"/>
        </w:rPr>
        <w:t> </w:t>
      </w:r>
      <w:r>
        <w:rPr>
          <w:sz w:val="24"/>
        </w:rPr>
        <w:t>preuve, de</w:t>
      </w:r>
      <w:r>
        <w:rPr>
          <w:spacing w:val="-1"/>
          <w:sz w:val="24"/>
        </w:rPr>
        <w:t> </w:t>
      </w:r>
      <w:r>
        <w:rPr>
          <w:sz w:val="24"/>
        </w:rPr>
        <w:t>sorte</w:t>
      </w:r>
      <w:r>
        <w:rPr>
          <w:spacing w:val="-1"/>
          <w:sz w:val="24"/>
        </w:rPr>
        <w:t> </w:t>
      </w:r>
      <w:r>
        <w:rPr>
          <w:sz w:val="24"/>
        </w:rPr>
        <w:t>que</w:t>
      </w:r>
      <w:r>
        <w:rPr>
          <w:spacing w:val="-1"/>
          <w:sz w:val="24"/>
        </w:rPr>
        <w:t> </w:t>
      </w:r>
      <w:r>
        <w:rPr>
          <w:sz w:val="24"/>
        </w:rPr>
        <w:t>l’opposante a produit des éléments de preuve supplémentaires au stade du recours (mentionné au paragraphe 7).</w:t>
      </w:r>
    </w:p>
    <w:p>
      <w:pPr>
        <w:pStyle w:val="ListParagraph"/>
        <w:numPr>
          <w:ilvl w:val="0"/>
          <w:numId w:val="1"/>
        </w:numPr>
        <w:tabs>
          <w:tab w:pos="590" w:val="left" w:leader="none"/>
        </w:tabs>
        <w:spacing w:line="240" w:lineRule="auto" w:before="241" w:after="0"/>
        <w:ind w:left="590" w:right="158" w:hanging="425"/>
        <w:jc w:val="both"/>
        <w:rPr>
          <w:sz w:val="24"/>
        </w:rPr>
      </w:pPr>
      <w:r>
        <w:rPr>
          <w:sz w:val="24"/>
        </w:rPr>
        <w:t>Il est rappelé</w:t>
      </w:r>
      <w:r>
        <w:rPr>
          <w:spacing w:val="-1"/>
          <w:sz w:val="24"/>
        </w:rPr>
        <w:t> </w:t>
      </w:r>
      <w:r>
        <w:rPr>
          <w:sz w:val="24"/>
        </w:rPr>
        <w:t>que l’existence</w:t>
      </w:r>
      <w:r>
        <w:rPr>
          <w:spacing w:val="-1"/>
          <w:sz w:val="24"/>
        </w:rPr>
        <w:t> </w:t>
      </w:r>
      <w:r>
        <w:rPr>
          <w:sz w:val="24"/>
        </w:rPr>
        <w:t>d’un caractère</w:t>
      </w:r>
      <w:r>
        <w:rPr>
          <w:spacing w:val="-2"/>
          <w:sz w:val="24"/>
        </w:rPr>
        <w:t> </w:t>
      </w:r>
      <w:r>
        <w:rPr>
          <w:sz w:val="24"/>
        </w:rPr>
        <w:t>distinctif</w:t>
      </w:r>
      <w:r>
        <w:rPr>
          <w:spacing w:val="-1"/>
          <w:sz w:val="24"/>
        </w:rPr>
        <w:t> </w:t>
      </w:r>
      <w:r>
        <w:rPr>
          <w:sz w:val="24"/>
        </w:rPr>
        <w:t>supérieur</w:t>
      </w:r>
      <w:r>
        <w:rPr>
          <w:spacing w:val="-1"/>
          <w:sz w:val="24"/>
        </w:rPr>
        <w:t> </w:t>
      </w:r>
      <w:r>
        <w:rPr>
          <w:sz w:val="24"/>
        </w:rPr>
        <w:t>à</w:t>
      </w:r>
      <w:r>
        <w:rPr>
          <w:spacing w:val="-1"/>
          <w:sz w:val="24"/>
        </w:rPr>
        <w:t> </w:t>
      </w:r>
      <w:r>
        <w:rPr>
          <w:sz w:val="24"/>
        </w:rPr>
        <w:t>la normale, en raison de la connaissance qu’a le public d’une marque sur le marché, suppose nécessairement que cette</w:t>
      </w:r>
      <w:r>
        <w:rPr>
          <w:spacing w:val="-4"/>
          <w:sz w:val="24"/>
        </w:rPr>
        <w:t> </w:t>
      </w:r>
      <w:r>
        <w:rPr>
          <w:sz w:val="24"/>
        </w:rPr>
        <w:t>marque</w:t>
      </w:r>
      <w:r>
        <w:rPr>
          <w:spacing w:val="-4"/>
          <w:sz w:val="24"/>
        </w:rPr>
        <w:t> </w:t>
      </w:r>
      <w:r>
        <w:rPr>
          <w:sz w:val="24"/>
        </w:rPr>
        <w:t>soit</w:t>
      </w:r>
      <w:r>
        <w:rPr>
          <w:spacing w:val="-3"/>
          <w:sz w:val="24"/>
        </w:rPr>
        <w:t> </w:t>
      </w:r>
      <w:r>
        <w:rPr>
          <w:sz w:val="24"/>
        </w:rPr>
        <w:t>connue</w:t>
      </w:r>
      <w:r>
        <w:rPr>
          <w:spacing w:val="-2"/>
          <w:sz w:val="24"/>
        </w:rPr>
        <w:t> </w:t>
      </w:r>
      <w:r>
        <w:rPr>
          <w:sz w:val="24"/>
        </w:rPr>
        <w:t>d’au</w:t>
      </w:r>
      <w:r>
        <w:rPr>
          <w:spacing w:val="-3"/>
          <w:sz w:val="24"/>
        </w:rPr>
        <w:t> </w:t>
      </w:r>
      <w:r>
        <w:rPr>
          <w:sz w:val="24"/>
        </w:rPr>
        <w:t>moins</w:t>
      </w:r>
      <w:r>
        <w:rPr>
          <w:spacing w:val="-4"/>
          <w:sz w:val="24"/>
        </w:rPr>
        <w:t> </w:t>
      </w:r>
      <w:r>
        <w:rPr>
          <w:sz w:val="24"/>
        </w:rPr>
        <w:t>une</w:t>
      </w:r>
      <w:r>
        <w:rPr>
          <w:spacing w:val="-4"/>
          <w:sz w:val="24"/>
        </w:rPr>
        <w:t> </w:t>
      </w:r>
      <w:r>
        <w:rPr>
          <w:sz w:val="24"/>
        </w:rPr>
        <w:t>partie</w:t>
      </w:r>
      <w:r>
        <w:rPr>
          <w:spacing w:val="-4"/>
          <w:sz w:val="24"/>
        </w:rPr>
        <w:t> </w:t>
      </w:r>
      <w:r>
        <w:rPr>
          <w:sz w:val="24"/>
        </w:rPr>
        <w:t>significative</w:t>
      </w:r>
      <w:r>
        <w:rPr>
          <w:spacing w:val="-4"/>
          <w:sz w:val="24"/>
        </w:rPr>
        <w:t> </w:t>
      </w:r>
      <w:r>
        <w:rPr>
          <w:sz w:val="24"/>
        </w:rPr>
        <w:t>du</w:t>
      </w:r>
      <w:r>
        <w:rPr>
          <w:spacing w:val="-3"/>
          <w:sz w:val="24"/>
        </w:rPr>
        <w:t> </w:t>
      </w:r>
      <w:r>
        <w:rPr>
          <w:sz w:val="24"/>
        </w:rPr>
        <w:t>public</w:t>
      </w:r>
      <w:r>
        <w:rPr>
          <w:spacing w:val="-4"/>
          <w:sz w:val="24"/>
        </w:rPr>
        <w:t> </w:t>
      </w:r>
      <w:r>
        <w:rPr>
          <w:sz w:val="24"/>
        </w:rPr>
        <w:t>pertinent,</w:t>
      </w:r>
      <w:r>
        <w:rPr>
          <w:spacing w:val="-3"/>
          <w:sz w:val="24"/>
        </w:rPr>
        <w:t> </w:t>
      </w:r>
      <w:r>
        <w:rPr>
          <w:sz w:val="24"/>
        </w:rPr>
        <w:t>mais</w:t>
      </w:r>
      <w:r>
        <w:rPr>
          <w:spacing w:val="-4"/>
          <w:sz w:val="24"/>
        </w:rPr>
        <w:t> </w:t>
      </w:r>
      <w:r>
        <w:rPr>
          <w:sz w:val="24"/>
        </w:rPr>
        <w:t>pas nécessairement qu’elle jouit d’une renommée au sens de l’article 8, paragraphe</w:t>
      </w:r>
      <w:r>
        <w:rPr>
          <w:spacing w:val="-2"/>
          <w:sz w:val="24"/>
        </w:rPr>
        <w:t> </w:t>
      </w:r>
      <w:r>
        <w:rPr>
          <w:sz w:val="24"/>
        </w:rPr>
        <w:t>5, du RMUE. Il ne saurait être indiqué d’une façon générale, par exemple en recourant à des pourcentages</w:t>
      </w:r>
      <w:r>
        <w:rPr>
          <w:spacing w:val="-15"/>
          <w:sz w:val="24"/>
        </w:rPr>
        <w:t> </w:t>
      </w:r>
      <w:r>
        <w:rPr>
          <w:sz w:val="24"/>
        </w:rPr>
        <w:t>déterminés</w:t>
      </w:r>
      <w:r>
        <w:rPr>
          <w:spacing w:val="-15"/>
          <w:sz w:val="24"/>
        </w:rPr>
        <w:t> </w:t>
      </w:r>
      <w:r>
        <w:rPr>
          <w:sz w:val="24"/>
        </w:rPr>
        <w:t>relatifs</w:t>
      </w:r>
      <w:r>
        <w:rPr>
          <w:spacing w:val="-15"/>
          <w:sz w:val="24"/>
        </w:rPr>
        <w:t> </w:t>
      </w:r>
      <w:r>
        <w:rPr>
          <w:sz w:val="24"/>
        </w:rPr>
        <w:t>au</w:t>
      </w:r>
      <w:r>
        <w:rPr>
          <w:spacing w:val="-15"/>
          <w:sz w:val="24"/>
        </w:rPr>
        <w:t> </w:t>
      </w:r>
      <w:r>
        <w:rPr>
          <w:sz w:val="24"/>
        </w:rPr>
        <w:t>degré</w:t>
      </w:r>
      <w:r>
        <w:rPr>
          <w:spacing w:val="-15"/>
          <w:sz w:val="24"/>
        </w:rPr>
        <w:t> </w:t>
      </w:r>
      <w:r>
        <w:rPr>
          <w:sz w:val="24"/>
        </w:rPr>
        <w:t>de</w:t>
      </w:r>
      <w:r>
        <w:rPr>
          <w:spacing w:val="-15"/>
          <w:sz w:val="24"/>
        </w:rPr>
        <w:t> </w:t>
      </w:r>
      <w:r>
        <w:rPr>
          <w:sz w:val="24"/>
        </w:rPr>
        <w:t>connaissance</w:t>
      </w:r>
      <w:r>
        <w:rPr>
          <w:spacing w:val="-15"/>
          <w:sz w:val="24"/>
        </w:rPr>
        <w:t> </w:t>
      </w:r>
      <w:r>
        <w:rPr>
          <w:sz w:val="24"/>
        </w:rPr>
        <w:t>qu’a</w:t>
      </w:r>
      <w:r>
        <w:rPr>
          <w:spacing w:val="-15"/>
          <w:sz w:val="24"/>
        </w:rPr>
        <w:t> </w:t>
      </w:r>
      <w:r>
        <w:rPr>
          <w:sz w:val="24"/>
        </w:rPr>
        <w:t>le</w:t>
      </w:r>
      <w:r>
        <w:rPr>
          <w:spacing w:val="-15"/>
          <w:sz w:val="24"/>
        </w:rPr>
        <w:t> </w:t>
      </w:r>
      <w:r>
        <w:rPr>
          <w:sz w:val="24"/>
        </w:rPr>
        <w:t>public</w:t>
      </w:r>
      <w:r>
        <w:rPr>
          <w:spacing w:val="-15"/>
          <w:sz w:val="24"/>
        </w:rPr>
        <w:t> </w:t>
      </w:r>
      <w:r>
        <w:rPr>
          <w:sz w:val="24"/>
        </w:rPr>
        <w:t>de</w:t>
      </w:r>
      <w:r>
        <w:rPr>
          <w:spacing w:val="-15"/>
          <w:sz w:val="24"/>
        </w:rPr>
        <w:t> </w:t>
      </w:r>
      <w:r>
        <w:rPr>
          <w:sz w:val="24"/>
        </w:rPr>
        <w:t>la</w:t>
      </w:r>
      <w:r>
        <w:rPr>
          <w:spacing w:val="-15"/>
          <w:sz w:val="24"/>
        </w:rPr>
        <w:t> </w:t>
      </w:r>
      <w:r>
        <w:rPr>
          <w:sz w:val="24"/>
        </w:rPr>
        <w:t>marque</w:t>
      </w:r>
      <w:r>
        <w:rPr>
          <w:spacing w:val="-15"/>
          <w:sz w:val="24"/>
        </w:rPr>
        <w:t> </w:t>
      </w:r>
      <w:r>
        <w:rPr>
          <w:sz w:val="24"/>
        </w:rPr>
        <w:t>dans les milieux concernés, qu’une marque a un caractère distinctif élevé. Néanmoins, il y a lieu</w:t>
      </w:r>
      <w:r>
        <w:rPr>
          <w:spacing w:val="-13"/>
          <w:sz w:val="24"/>
        </w:rPr>
        <w:t> </w:t>
      </w:r>
      <w:r>
        <w:rPr>
          <w:sz w:val="24"/>
        </w:rPr>
        <w:t>de</w:t>
      </w:r>
      <w:r>
        <w:rPr>
          <w:spacing w:val="-14"/>
          <w:sz w:val="24"/>
        </w:rPr>
        <w:t> </w:t>
      </w:r>
      <w:r>
        <w:rPr>
          <w:sz w:val="24"/>
        </w:rPr>
        <w:t>reconnaître</w:t>
      </w:r>
      <w:r>
        <w:rPr>
          <w:spacing w:val="-15"/>
          <w:sz w:val="24"/>
        </w:rPr>
        <w:t> </w:t>
      </w:r>
      <w:r>
        <w:rPr>
          <w:sz w:val="24"/>
        </w:rPr>
        <w:t>une</w:t>
      </w:r>
      <w:r>
        <w:rPr>
          <w:spacing w:val="-14"/>
          <w:sz w:val="24"/>
        </w:rPr>
        <w:t> </w:t>
      </w:r>
      <w:r>
        <w:rPr>
          <w:sz w:val="24"/>
        </w:rPr>
        <w:t>certaine</w:t>
      </w:r>
      <w:r>
        <w:rPr>
          <w:spacing w:val="-14"/>
          <w:sz w:val="24"/>
        </w:rPr>
        <w:t> </w:t>
      </w:r>
      <w:r>
        <w:rPr>
          <w:sz w:val="24"/>
        </w:rPr>
        <w:t>interdépendance</w:t>
      </w:r>
      <w:r>
        <w:rPr>
          <w:spacing w:val="-14"/>
          <w:sz w:val="24"/>
        </w:rPr>
        <w:t> </w:t>
      </w:r>
      <w:r>
        <w:rPr>
          <w:sz w:val="24"/>
        </w:rPr>
        <w:t>entre</w:t>
      </w:r>
      <w:r>
        <w:rPr>
          <w:spacing w:val="-14"/>
          <w:sz w:val="24"/>
        </w:rPr>
        <w:t> </w:t>
      </w:r>
      <w:r>
        <w:rPr>
          <w:sz w:val="24"/>
        </w:rPr>
        <w:t>la</w:t>
      </w:r>
      <w:r>
        <w:rPr>
          <w:spacing w:val="-14"/>
          <w:sz w:val="24"/>
        </w:rPr>
        <w:t> </w:t>
      </w:r>
      <w:r>
        <w:rPr>
          <w:sz w:val="24"/>
        </w:rPr>
        <w:t>connaissance</w:t>
      </w:r>
      <w:r>
        <w:rPr>
          <w:spacing w:val="-14"/>
          <w:sz w:val="24"/>
        </w:rPr>
        <w:t> </w:t>
      </w:r>
      <w:r>
        <w:rPr>
          <w:sz w:val="24"/>
        </w:rPr>
        <w:t>qu’a</w:t>
      </w:r>
      <w:r>
        <w:rPr>
          <w:spacing w:val="-14"/>
          <w:sz w:val="24"/>
        </w:rPr>
        <w:t> </w:t>
      </w:r>
      <w:r>
        <w:rPr>
          <w:sz w:val="24"/>
        </w:rPr>
        <w:t>le</w:t>
      </w:r>
      <w:r>
        <w:rPr>
          <w:spacing w:val="-14"/>
          <w:sz w:val="24"/>
        </w:rPr>
        <w:t> </w:t>
      </w:r>
      <w:r>
        <w:rPr>
          <w:sz w:val="24"/>
        </w:rPr>
        <w:t>public</w:t>
      </w:r>
      <w:r>
        <w:rPr>
          <w:spacing w:val="-14"/>
          <w:sz w:val="24"/>
        </w:rPr>
        <w:t> </w:t>
      </w:r>
      <w:r>
        <w:rPr>
          <w:sz w:val="24"/>
        </w:rPr>
        <w:t>d’une marque et le caractère distinctif de celle-ci en ce sens que, plus la marque est connue du public ciblé, plus le caractère distinctif est renforcé.</w:t>
      </w:r>
    </w:p>
    <w:p>
      <w:pPr>
        <w:pStyle w:val="ListParagraph"/>
        <w:numPr>
          <w:ilvl w:val="0"/>
          <w:numId w:val="1"/>
        </w:numPr>
        <w:tabs>
          <w:tab w:pos="590" w:val="left" w:leader="none"/>
        </w:tabs>
        <w:spacing w:line="240" w:lineRule="auto" w:before="240" w:after="0"/>
        <w:ind w:left="590" w:right="160" w:hanging="425"/>
        <w:jc w:val="both"/>
        <w:rPr>
          <w:sz w:val="24"/>
        </w:rPr>
      </w:pPr>
      <w:r>
        <w:rPr>
          <w:sz w:val="24"/>
        </w:rPr>
        <w:t>Afin d’apprécier si une marque possède un caractère distinctif élevé en raison de la connaissance qu’en a le public, tous les éléments pertinents du cas d’espèce doivent être pris en considération, notamment la part de marché détenue par la marque; l’intensité, l’étendue géographique et la durée de l’usage de cette marque; l’importance des investissements faits par l’entreprise pour la promouvoir; la proportion des milieux intéressés qui identifie les produits ou services comme provenant d’une entreprise déterminée</w:t>
      </w:r>
      <w:r>
        <w:rPr>
          <w:spacing w:val="-10"/>
          <w:sz w:val="24"/>
        </w:rPr>
        <w:t> </w:t>
      </w:r>
      <w:r>
        <w:rPr>
          <w:sz w:val="24"/>
        </w:rPr>
        <w:t>grâce</w:t>
      </w:r>
      <w:r>
        <w:rPr>
          <w:spacing w:val="-12"/>
          <w:sz w:val="24"/>
        </w:rPr>
        <w:t> </w:t>
      </w:r>
      <w:r>
        <w:rPr>
          <w:sz w:val="24"/>
        </w:rPr>
        <w:t>à</w:t>
      </w:r>
      <w:r>
        <w:rPr>
          <w:spacing w:val="-12"/>
          <w:sz w:val="24"/>
        </w:rPr>
        <w:t> </w:t>
      </w:r>
      <w:r>
        <w:rPr>
          <w:sz w:val="24"/>
        </w:rPr>
        <w:t>la</w:t>
      </w:r>
      <w:r>
        <w:rPr>
          <w:spacing w:val="-12"/>
          <w:sz w:val="24"/>
        </w:rPr>
        <w:t> </w:t>
      </w:r>
      <w:r>
        <w:rPr>
          <w:sz w:val="24"/>
        </w:rPr>
        <w:t>marque;</w:t>
      </w:r>
      <w:r>
        <w:rPr>
          <w:spacing w:val="-11"/>
          <w:sz w:val="24"/>
        </w:rPr>
        <w:t> </w:t>
      </w:r>
      <w:r>
        <w:rPr>
          <w:sz w:val="24"/>
        </w:rPr>
        <w:t>et</w:t>
      </w:r>
      <w:r>
        <w:rPr>
          <w:spacing w:val="-11"/>
          <w:sz w:val="24"/>
        </w:rPr>
        <w:t> </w:t>
      </w:r>
      <w:r>
        <w:rPr>
          <w:sz w:val="24"/>
        </w:rPr>
        <w:t>les</w:t>
      </w:r>
      <w:r>
        <w:rPr>
          <w:spacing w:val="-12"/>
          <w:sz w:val="24"/>
        </w:rPr>
        <w:t> </w:t>
      </w:r>
      <w:r>
        <w:rPr>
          <w:sz w:val="24"/>
        </w:rPr>
        <w:t>déclarations</w:t>
      </w:r>
      <w:r>
        <w:rPr>
          <w:spacing w:val="-11"/>
          <w:sz w:val="24"/>
        </w:rPr>
        <w:t> </w:t>
      </w:r>
      <w:r>
        <w:rPr>
          <w:sz w:val="24"/>
        </w:rPr>
        <w:t>des</w:t>
      </w:r>
      <w:r>
        <w:rPr>
          <w:spacing w:val="-11"/>
          <w:sz w:val="24"/>
        </w:rPr>
        <w:t> </w:t>
      </w:r>
      <w:r>
        <w:rPr>
          <w:sz w:val="24"/>
        </w:rPr>
        <w:t>chambres</w:t>
      </w:r>
      <w:r>
        <w:rPr>
          <w:spacing w:val="-11"/>
          <w:sz w:val="24"/>
        </w:rPr>
        <w:t> </w:t>
      </w:r>
      <w:r>
        <w:rPr>
          <w:sz w:val="24"/>
        </w:rPr>
        <w:t>de</w:t>
      </w:r>
      <w:r>
        <w:rPr>
          <w:spacing w:val="-12"/>
          <w:sz w:val="24"/>
        </w:rPr>
        <w:t> </w:t>
      </w:r>
      <w:r>
        <w:rPr>
          <w:sz w:val="24"/>
        </w:rPr>
        <w:t>commerce</w:t>
      </w:r>
      <w:r>
        <w:rPr>
          <w:spacing w:val="-12"/>
          <w:sz w:val="24"/>
        </w:rPr>
        <w:t> </w:t>
      </w:r>
      <w:r>
        <w:rPr>
          <w:sz w:val="24"/>
        </w:rPr>
        <w:t>et</w:t>
      </w:r>
      <w:r>
        <w:rPr>
          <w:spacing w:val="-11"/>
          <w:sz w:val="24"/>
        </w:rPr>
        <w:t> </w:t>
      </w:r>
      <w:r>
        <w:rPr>
          <w:sz w:val="24"/>
        </w:rPr>
        <w:t>d’industrie ou d’autres associations professionnelles (22/06/1999,-342/97, Lloyd Schuhfabrik, EU:C:1999:323,</w:t>
      </w:r>
      <w:r>
        <w:rPr>
          <w:spacing w:val="-11"/>
          <w:sz w:val="24"/>
        </w:rPr>
        <w:t> </w:t>
      </w:r>
      <w:r>
        <w:rPr>
          <w:sz w:val="24"/>
        </w:rPr>
        <w:t>§</w:t>
      </w:r>
      <w:r>
        <w:rPr>
          <w:spacing w:val="-11"/>
          <w:sz w:val="24"/>
        </w:rPr>
        <w:t> </w:t>
      </w:r>
      <w:r>
        <w:rPr>
          <w:sz w:val="24"/>
        </w:rPr>
        <w:t>23;</w:t>
      </w:r>
      <w:r>
        <w:rPr>
          <w:spacing w:val="-11"/>
          <w:sz w:val="24"/>
        </w:rPr>
        <w:t> </w:t>
      </w:r>
      <w:r>
        <w:rPr>
          <w:sz w:val="24"/>
        </w:rPr>
        <w:t>06/10/2017,</w:t>
      </w:r>
      <w:r>
        <w:rPr>
          <w:spacing w:val="-11"/>
          <w:sz w:val="24"/>
        </w:rPr>
        <w:t> </w:t>
      </w:r>
      <w:r>
        <w:rPr>
          <w:sz w:val="24"/>
        </w:rPr>
        <w:t>T-184/16,</w:t>
      </w:r>
      <w:r>
        <w:rPr>
          <w:spacing w:val="-11"/>
          <w:sz w:val="24"/>
        </w:rPr>
        <w:t> </w:t>
      </w:r>
      <w:r>
        <w:rPr>
          <w:sz w:val="24"/>
        </w:rPr>
        <w:t>SKY</w:t>
      </w:r>
      <w:r>
        <w:rPr>
          <w:spacing w:val="-12"/>
          <w:sz w:val="24"/>
        </w:rPr>
        <w:t> </w:t>
      </w:r>
      <w:r>
        <w:rPr>
          <w:sz w:val="24"/>
        </w:rPr>
        <w:t>ENERGY/NRJ,</w:t>
      </w:r>
      <w:r>
        <w:rPr>
          <w:spacing w:val="-11"/>
          <w:sz w:val="24"/>
        </w:rPr>
        <w:t> </w:t>
      </w:r>
      <w:r>
        <w:rPr>
          <w:sz w:val="24"/>
        </w:rPr>
        <w:t>EU:T:2017:703,</w:t>
      </w:r>
      <w:r>
        <w:rPr>
          <w:spacing w:val="-11"/>
          <w:sz w:val="24"/>
        </w:rPr>
        <w:t> </w:t>
      </w:r>
      <w:r>
        <w:rPr>
          <w:sz w:val="24"/>
        </w:rPr>
        <w:t>§</w:t>
      </w:r>
      <w:r>
        <w:rPr>
          <w:spacing w:val="-11"/>
          <w:sz w:val="24"/>
        </w:rPr>
        <w:t> </w:t>
      </w:r>
      <w:r>
        <w:rPr>
          <w:sz w:val="24"/>
        </w:rPr>
        <w:t>59-</w:t>
      </w:r>
    </w:p>
    <w:p>
      <w:pPr>
        <w:pStyle w:val="BodyText"/>
        <w:ind w:left="590"/>
        <w:jc w:val="both"/>
      </w:pPr>
      <w:r>
        <w:rPr/>
        <w:t>60</w:t>
      </w:r>
      <w:r>
        <w:rPr>
          <w:spacing w:val="24"/>
        </w:rPr>
        <w:t>  </w:t>
      </w:r>
      <w:r>
        <w:rPr/>
        <w:t>et</w:t>
      </w:r>
      <w:r>
        <w:rPr>
          <w:spacing w:val="26"/>
        </w:rPr>
        <w:t>  </w:t>
      </w:r>
      <w:r>
        <w:rPr/>
        <w:t>jurisprudence</w:t>
      </w:r>
      <w:r>
        <w:rPr>
          <w:spacing w:val="27"/>
        </w:rPr>
        <w:t>  </w:t>
      </w:r>
      <w:r>
        <w:rPr/>
        <w:t>citée;</w:t>
      </w:r>
      <w:r>
        <w:rPr>
          <w:spacing w:val="26"/>
        </w:rPr>
        <w:t>  </w:t>
      </w:r>
      <w:r>
        <w:rPr/>
        <w:t>07/06/2018,</w:t>
      </w:r>
      <w:r>
        <w:rPr>
          <w:spacing w:val="26"/>
        </w:rPr>
        <w:t>  </w:t>
      </w:r>
      <w:r>
        <w:rPr/>
        <w:t>T-807/16,</w:t>
      </w:r>
      <w:r>
        <w:rPr>
          <w:spacing w:val="27"/>
        </w:rPr>
        <w:t>  </w:t>
      </w:r>
      <w:r>
        <w:rPr/>
        <w:t>N</w:t>
      </w:r>
      <w:r>
        <w:rPr>
          <w:spacing w:val="26"/>
        </w:rPr>
        <w:t>  </w:t>
      </w:r>
      <w:r>
        <w:rPr/>
        <w:t>mentale</w:t>
      </w:r>
      <w:r>
        <w:rPr>
          <w:spacing w:val="27"/>
        </w:rPr>
        <w:t>  </w:t>
      </w:r>
      <w:r>
        <w:rPr/>
        <w:t>NF</w:t>
      </w:r>
      <w:r>
        <w:rPr>
          <w:spacing w:val="26"/>
        </w:rPr>
        <w:t>  </w:t>
      </w:r>
      <w:r>
        <w:rPr>
          <w:spacing w:val="-2"/>
        </w:rPr>
        <w:t>TRADING/NF</w:t>
      </w:r>
    </w:p>
    <w:p>
      <w:pPr>
        <w:pStyle w:val="BodyText"/>
        <w:rPr>
          <w:sz w:val="18"/>
        </w:rPr>
      </w:pPr>
    </w:p>
    <w:p>
      <w:pPr>
        <w:pStyle w:val="BodyText"/>
        <w:spacing w:before="116"/>
        <w:rPr>
          <w:sz w:val="18"/>
        </w:rPr>
      </w:pPr>
    </w:p>
    <w:p>
      <w:pPr>
        <w:spacing w:before="0"/>
        <w:ind w:left="2737" w:right="2738" w:firstLine="0"/>
        <w:jc w:val="center"/>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p>
      <w:pPr>
        <w:spacing w:after="0"/>
        <w:jc w:val="center"/>
        <w:rPr>
          <w:sz w:val="18"/>
        </w:rPr>
        <w:sectPr>
          <w:pgSz w:w="11910" w:h="16840"/>
          <w:pgMar w:header="970" w:footer="0" w:top="1180" w:bottom="280" w:left="1275" w:right="1275"/>
        </w:sectPr>
      </w:pPr>
    </w:p>
    <w:p>
      <w:pPr>
        <w:pStyle w:val="BodyText"/>
        <w:spacing w:before="249"/>
        <w:ind w:left="590"/>
      </w:pPr>
      <w:r>
        <w:rPr/>
        <mc:AlternateContent>
          <mc:Choice Requires="wps">
            <w:drawing>
              <wp:anchor distT="0" distB="0" distL="0" distR="0" allowOverlap="1" layoutInCell="1" locked="0" behindDoc="0" simplePos="0" relativeHeight="15747584">
                <wp:simplePos x="0" y="0"/>
                <wp:positionH relativeFrom="page">
                  <wp:posOffset>270575</wp:posOffset>
                </wp:positionH>
                <wp:positionV relativeFrom="page">
                  <wp:posOffset>1114363</wp:posOffset>
                </wp:positionV>
                <wp:extent cx="146050" cy="921004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146050" cy="9210040"/>
                        </a:xfrm>
                        <a:prstGeom prst="rect">
                          <a:avLst/>
                        </a:prstGeom>
                      </wps:spPr>
                      <wps:txbx>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wps:txbx>
                      <wps:bodyPr wrap="square" lIns="0" tIns="0" rIns="0" bIns="0" rtlCol="0" vert="vert270">
                        <a:noAutofit/>
                      </wps:bodyPr>
                    </wps:wsp>
                  </a:graphicData>
                </a:graphic>
              </wp:anchor>
            </w:drawing>
          </mc:Choice>
          <mc:Fallback>
            <w:pict>
              <v:shape style="position:absolute;margin-left:21.305176pt;margin-top:87.745193pt;width:11.5pt;height:725.2pt;mso-position-horizontal-relative:page;mso-position-vertical-relative:page;z-index:15747584" type="#_x0000_t202" id="docshape30" filled="false" stroked="false">
                <v:textbox inset="0,0,0,0" style="layout-flow:vertical;mso-layout-flow-alt:bottom-to-top">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v:textbox>
                <w10:wrap type="none"/>
              </v:shape>
            </w:pict>
          </mc:Fallback>
        </mc:AlternateContent>
      </w:r>
      <w:r>
        <w:rPr/>
        <w:t>ENVIRONNEMENT</w:t>
      </w:r>
      <w:r>
        <w:rPr>
          <w:spacing w:val="80"/>
        </w:rPr>
        <w:t> </w:t>
      </w:r>
      <w:r>
        <w:rPr/>
        <w:t>(fig.)</w:t>
      </w:r>
      <w:r>
        <w:rPr>
          <w:spacing w:val="80"/>
        </w:rPr>
        <w:t> </w:t>
      </w:r>
      <w:r>
        <w:rPr/>
        <w:t>et</w:t>
      </w:r>
      <w:r>
        <w:rPr>
          <w:spacing w:val="80"/>
        </w:rPr>
        <w:t> </w:t>
      </w:r>
      <w:r>
        <w:rPr/>
        <w:t>al.,</w:t>
      </w:r>
      <w:r>
        <w:rPr>
          <w:spacing w:val="80"/>
        </w:rPr>
        <w:t> </w:t>
      </w:r>
      <w:r>
        <w:rPr/>
        <w:t>EU:T:2018:337,</w:t>
      </w:r>
      <w:r>
        <w:rPr>
          <w:spacing w:val="80"/>
        </w:rPr>
        <w:t> </w:t>
      </w:r>
      <w:r>
        <w:rPr/>
        <w:t>§</w:t>
      </w:r>
      <w:r>
        <w:rPr>
          <w:spacing w:val="80"/>
        </w:rPr>
        <w:t> </w:t>
      </w:r>
      <w:r>
        <w:rPr/>
        <w:t>61,</w:t>
      </w:r>
      <w:r>
        <w:rPr>
          <w:spacing w:val="80"/>
        </w:rPr>
        <w:t> </w:t>
      </w:r>
      <w:r>
        <w:rPr/>
        <w:t>et</w:t>
      </w:r>
      <w:r>
        <w:rPr>
          <w:spacing w:val="80"/>
        </w:rPr>
        <w:t> </w:t>
      </w:r>
      <w:r>
        <w:rPr/>
        <w:t>la-jurisprudence</w:t>
      </w:r>
      <w:r>
        <w:rPr>
          <w:spacing w:val="80"/>
        </w:rPr>
        <w:t> </w:t>
      </w:r>
      <w:r>
        <w:rPr/>
        <w:t>citée; 06/11/2024,</w:t>
      </w:r>
      <w:r>
        <w:rPr>
          <w:spacing w:val="-12"/>
        </w:rPr>
        <w:t> </w:t>
      </w:r>
      <w:r>
        <w:rPr/>
        <w:t>T-561/22,</w:t>
      </w:r>
      <w:r>
        <w:rPr>
          <w:spacing w:val="-8"/>
        </w:rPr>
        <w:t> </w:t>
      </w:r>
      <w:r>
        <w:rPr/>
        <w:t>CCA</w:t>
      </w:r>
      <w:r>
        <w:rPr>
          <w:spacing w:val="-9"/>
        </w:rPr>
        <w:t> </w:t>
      </w:r>
      <w:r>
        <w:rPr/>
        <w:t>CHARTERED</w:t>
      </w:r>
      <w:r>
        <w:rPr>
          <w:spacing w:val="-10"/>
        </w:rPr>
        <w:t> </w:t>
      </w:r>
      <w:r>
        <w:rPr/>
        <w:t>CONTROLLER</w:t>
      </w:r>
      <w:r>
        <w:rPr>
          <w:spacing w:val="-6"/>
        </w:rPr>
        <w:t> </w:t>
      </w:r>
      <w:r>
        <w:rPr/>
        <w:t>ANALYST</w:t>
      </w:r>
      <w:r>
        <w:rPr>
          <w:spacing w:val="-6"/>
        </w:rPr>
        <w:t> </w:t>
      </w:r>
      <w:r>
        <w:rPr>
          <w:spacing w:val="-2"/>
        </w:rPr>
        <w:t>CERTIFICATE</w:t>
      </w:r>
    </w:p>
    <w:p>
      <w:pPr>
        <w:pStyle w:val="BodyText"/>
        <w:ind w:left="590"/>
      </w:pPr>
      <w:r>
        <w:rPr/>
        <w:t>(fig.)/CFA</w:t>
      </w:r>
      <w:r>
        <w:rPr>
          <w:spacing w:val="-1"/>
        </w:rPr>
        <w:t> </w:t>
      </w:r>
      <w:r>
        <w:rPr/>
        <w:t>Institute</w:t>
      </w:r>
      <w:r>
        <w:rPr>
          <w:spacing w:val="-2"/>
        </w:rPr>
        <w:t> </w:t>
      </w:r>
      <w:r>
        <w:rPr/>
        <w:t>(fig.) et</w:t>
      </w:r>
      <w:r>
        <w:rPr>
          <w:spacing w:val="-1"/>
        </w:rPr>
        <w:t> </w:t>
      </w:r>
      <w:r>
        <w:rPr/>
        <w:t>al.,</w:t>
      </w:r>
      <w:r>
        <w:rPr>
          <w:spacing w:val="-2"/>
        </w:rPr>
        <w:t> </w:t>
      </w:r>
      <w:r>
        <w:rPr/>
        <w:t>EU:T:2024:777,</w:t>
      </w:r>
      <w:r>
        <w:rPr>
          <w:spacing w:val="-1"/>
        </w:rPr>
        <w:t> </w:t>
      </w:r>
      <w:r>
        <w:rPr/>
        <w:t>§</w:t>
      </w:r>
      <w:r>
        <w:rPr>
          <w:spacing w:val="-1"/>
        </w:rPr>
        <w:t> </w:t>
      </w:r>
      <w:r>
        <w:rPr/>
        <w:t>146,</w:t>
      </w:r>
      <w:r>
        <w:rPr>
          <w:spacing w:val="-1"/>
        </w:rPr>
        <w:t> </w:t>
      </w:r>
      <w:r>
        <w:rPr/>
        <w:t>et</w:t>
      </w:r>
      <w:r>
        <w:rPr>
          <w:spacing w:val="-1"/>
        </w:rPr>
        <w:t> </w:t>
      </w:r>
      <w:r>
        <w:rPr/>
        <w:t>la-jurisprudence</w:t>
      </w:r>
      <w:r>
        <w:rPr>
          <w:spacing w:val="-2"/>
        </w:rPr>
        <w:t> citée).</w:t>
      </w:r>
    </w:p>
    <w:p>
      <w:pPr>
        <w:pStyle w:val="ListParagraph"/>
        <w:numPr>
          <w:ilvl w:val="0"/>
          <w:numId w:val="1"/>
        </w:numPr>
        <w:tabs>
          <w:tab w:pos="590" w:val="left" w:leader="none"/>
        </w:tabs>
        <w:spacing w:line="240" w:lineRule="auto" w:before="240" w:after="0"/>
        <w:ind w:left="590" w:right="157" w:hanging="425"/>
        <w:jc w:val="both"/>
        <w:rPr>
          <w:sz w:val="24"/>
        </w:rPr>
      </w:pPr>
      <w:r>
        <w:rPr>
          <w:sz w:val="24"/>
        </w:rPr>
        <w:t>Il s’agit d’apprécier l’aptitude de cette marque à identifier les produits ou services pour lesquels elle a été enregistrée comme provenant d’une entreprise déterminée et donc à distinguer ces produits ou ces services de ceux d’autres entreprises &amp;bra; 06/11/2024, T- 561/22,</w:t>
      </w:r>
      <w:r>
        <w:rPr>
          <w:spacing w:val="40"/>
          <w:sz w:val="24"/>
        </w:rPr>
        <w:t> </w:t>
      </w:r>
      <w:r>
        <w:rPr>
          <w:sz w:val="24"/>
        </w:rPr>
        <w:t>CCA</w:t>
      </w:r>
      <w:r>
        <w:rPr>
          <w:spacing w:val="40"/>
          <w:sz w:val="24"/>
        </w:rPr>
        <w:t> </w:t>
      </w:r>
      <w:r>
        <w:rPr>
          <w:sz w:val="24"/>
        </w:rPr>
        <w:t>CHARTERED</w:t>
      </w:r>
      <w:r>
        <w:rPr>
          <w:spacing w:val="40"/>
          <w:sz w:val="24"/>
        </w:rPr>
        <w:t> </w:t>
      </w:r>
      <w:r>
        <w:rPr>
          <w:sz w:val="24"/>
        </w:rPr>
        <w:t>CONTROLLER</w:t>
      </w:r>
      <w:r>
        <w:rPr>
          <w:spacing w:val="40"/>
          <w:sz w:val="24"/>
        </w:rPr>
        <w:t> </w:t>
      </w:r>
      <w:r>
        <w:rPr>
          <w:sz w:val="24"/>
        </w:rPr>
        <w:t>ANALYST</w:t>
      </w:r>
      <w:r>
        <w:rPr>
          <w:spacing w:val="40"/>
          <w:sz w:val="24"/>
        </w:rPr>
        <w:t> </w:t>
      </w:r>
      <w:r>
        <w:rPr>
          <w:sz w:val="24"/>
        </w:rPr>
        <w:t>CERTIFICATE</w:t>
      </w:r>
      <w:r>
        <w:rPr>
          <w:spacing w:val="40"/>
          <w:sz w:val="24"/>
        </w:rPr>
        <w:t> </w:t>
      </w:r>
      <w:r>
        <w:rPr>
          <w:sz w:val="24"/>
        </w:rPr>
        <w:t>(fig.)/CFA</w:t>
      </w:r>
    </w:p>
    <w:p>
      <w:pPr>
        <w:pStyle w:val="BodyText"/>
        <w:ind w:left="590"/>
      </w:pPr>
      <w:r>
        <w:rPr/>
        <w:t>Institute</w:t>
      </w:r>
      <w:r>
        <w:rPr>
          <w:spacing w:val="-5"/>
        </w:rPr>
        <w:t> </w:t>
      </w:r>
      <w:r>
        <w:rPr/>
        <w:t>(fig.) et</w:t>
      </w:r>
      <w:r>
        <w:rPr>
          <w:spacing w:val="-1"/>
        </w:rPr>
        <w:t> </w:t>
      </w:r>
      <w:r>
        <w:rPr/>
        <w:t>al.,</w:t>
      </w:r>
      <w:r>
        <w:rPr>
          <w:spacing w:val="-1"/>
        </w:rPr>
        <w:t> </w:t>
      </w:r>
      <w:r>
        <w:rPr/>
        <w:t>EU:T:2024:777,</w:t>
      </w:r>
      <w:r>
        <w:rPr>
          <w:spacing w:val="-2"/>
        </w:rPr>
        <w:t> </w:t>
      </w:r>
      <w:r>
        <w:rPr/>
        <w:t>§</w:t>
      </w:r>
      <w:r>
        <w:rPr>
          <w:spacing w:val="-1"/>
        </w:rPr>
        <w:t> </w:t>
      </w:r>
      <w:r>
        <w:rPr/>
        <w:t>147</w:t>
      </w:r>
      <w:r>
        <w:rPr>
          <w:spacing w:val="-1"/>
        </w:rPr>
        <w:t> </w:t>
      </w:r>
      <w:r>
        <w:rPr/>
        <w:t>et-jurisprudence citée </w:t>
      </w:r>
      <w:r>
        <w:rPr>
          <w:spacing w:val="-2"/>
        </w:rPr>
        <w:t>&amp;ket;.</w:t>
      </w:r>
    </w:p>
    <w:p>
      <w:pPr>
        <w:pStyle w:val="ListParagraph"/>
        <w:numPr>
          <w:ilvl w:val="0"/>
          <w:numId w:val="1"/>
        </w:numPr>
        <w:tabs>
          <w:tab w:pos="590" w:val="left" w:leader="none"/>
        </w:tabs>
        <w:spacing w:line="240" w:lineRule="auto" w:before="240" w:after="0"/>
        <w:ind w:left="590" w:right="161" w:hanging="425"/>
        <w:jc w:val="both"/>
        <w:rPr>
          <w:sz w:val="24"/>
        </w:rPr>
      </w:pPr>
      <w:r>
        <w:rPr>
          <w:sz w:val="24"/>
        </w:rPr>
        <w:t>Les éléments de preuve du caractère distinctif accru doivent porter à la fois sur la zone géographique pertinente (France) et sur les produits pertinents compris dans la classe 3 (préparations</w:t>
      </w:r>
      <w:r>
        <w:rPr>
          <w:spacing w:val="-13"/>
          <w:sz w:val="24"/>
        </w:rPr>
        <w:t> </w:t>
      </w:r>
      <w:r>
        <w:rPr>
          <w:sz w:val="24"/>
        </w:rPr>
        <w:t>pour</w:t>
      </w:r>
      <w:r>
        <w:rPr>
          <w:i/>
          <w:sz w:val="24"/>
        </w:rPr>
        <w:t>blanchir</w:t>
      </w:r>
      <w:r>
        <w:rPr>
          <w:i/>
          <w:spacing w:val="-12"/>
          <w:sz w:val="24"/>
        </w:rPr>
        <w:t> </w:t>
      </w:r>
      <w:r>
        <w:rPr>
          <w:i/>
          <w:sz w:val="24"/>
        </w:rPr>
        <w:t>et</w:t>
      </w:r>
      <w:r>
        <w:rPr>
          <w:i/>
          <w:spacing w:val="-13"/>
          <w:sz w:val="24"/>
        </w:rPr>
        <w:t> </w:t>
      </w:r>
      <w:r>
        <w:rPr>
          <w:i/>
          <w:sz w:val="24"/>
        </w:rPr>
        <w:t>autres</w:t>
      </w:r>
      <w:r>
        <w:rPr>
          <w:i/>
          <w:spacing w:val="-13"/>
          <w:sz w:val="24"/>
        </w:rPr>
        <w:t> </w:t>
      </w:r>
      <w:r>
        <w:rPr>
          <w:i/>
          <w:sz w:val="24"/>
        </w:rPr>
        <w:t>substances</w:t>
      </w:r>
      <w:r>
        <w:rPr>
          <w:i/>
          <w:spacing w:val="-13"/>
          <w:sz w:val="24"/>
        </w:rPr>
        <w:t> </w:t>
      </w:r>
      <w:r>
        <w:rPr>
          <w:i/>
          <w:sz w:val="24"/>
        </w:rPr>
        <w:t>pour</w:t>
      </w:r>
      <w:r>
        <w:rPr>
          <w:i/>
          <w:spacing w:val="-13"/>
          <w:sz w:val="24"/>
        </w:rPr>
        <w:t> </w:t>
      </w:r>
      <w:r>
        <w:rPr>
          <w:i/>
          <w:sz w:val="24"/>
        </w:rPr>
        <w:t>lessiver;</w:t>
      </w:r>
      <w:r>
        <w:rPr>
          <w:i/>
          <w:spacing w:val="-11"/>
          <w:sz w:val="24"/>
        </w:rPr>
        <w:t> </w:t>
      </w:r>
      <w:r>
        <w:rPr>
          <w:i/>
          <w:sz w:val="24"/>
        </w:rPr>
        <w:t>préparations</w:t>
      </w:r>
      <w:r>
        <w:rPr>
          <w:i/>
          <w:spacing w:val="-10"/>
          <w:sz w:val="24"/>
        </w:rPr>
        <w:t> </w:t>
      </w:r>
      <w:r>
        <w:rPr>
          <w:i/>
          <w:sz w:val="24"/>
        </w:rPr>
        <w:t>pour</w:t>
      </w:r>
      <w:r>
        <w:rPr>
          <w:i/>
          <w:spacing w:val="-13"/>
          <w:sz w:val="24"/>
        </w:rPr>
        <w:t> </w:t>
      </w:r>
      <w:r>
        <w:rPr>
          <w:i/>
          <w:sz w:val="24"/>
        </w:rPr>
        <w:t>nettoyer, polir, dégraisser et abraser; parfumerie; extraits (parfums); eaux de toilette parfumées; colognes; lotions parfumées; poudres; poudre pour le bain; talc; produits de bronzage; savons; huiles pour le bain; produits de beauté; savons; fards; huiles essentielles; cosmétiques; produits capillaires; dentifrices</w:t>
      </w:r>
      <w:r>
        <w:rPr>
          <w:sz w:val="24"/>
        </w:rPr>
        <w:t>).</w:t>
      </w:r>
    </w:p>
    <w:p>
      <w:pPr>
        <w:pStyle w:val="ListParagraph"/>
        <w:numPr>
          <w:ilvl w:val="0"/>
          <w:numId w:val="1"/>
        </w:numPr>
        <w:tabs>
          <w:tab w:pos="590" w:val="left" w:leader="none"/>
        </w:tabs>
        <w:spacing w:line="240" w:lineRule="auto" w:before="241" w:after="0"/>
        <w:ind w:left="590" w:right="166" w:hanging="425"/>
        <w:jc w:val="both"/>
        <w:rPr>
          <w:sz w:val="24"/>
        </w:rPr>
      </w:pPr>
      <w:r>
        <w:rPr>
          <w:sz w:val="24"/>
        </w:rPr>
        <w:t>En outre, l’opposante doit démontrer que les marques antérieures bénéficiaient d’un caractère distinctif accru à la date de dépôt de la demande contestée (9 mai 2023).</w:t>
      </w:r>
    </w:p>
    <w:p>
      <w:pPr>
        <w:pStyle w:val="ListParagraph"/>
        <w:numPr>
          <w:ilvl w:val="0"/>
          <w:numId w:val="1"/>
        </w:numPr>
        <w:tabs>
          <w:tab w:pos="590" w:val="left" w:leader="none"/>
        </w:tabs>
        <w:spacing w:line="240" w:lineRule="auto" w:before="240" w:after="0"/>
        <w:ind w:left="590" w:right="161" w:hanging="425"/>
        <w:jc w:val="both"/>
        <w:rPr>
          <w:sz w:val="24"/>
        </w:rPr>
      </w:pPr>
      <w:r>
        <w:rPr>
          <w:sz w:val="24"/>
        </w:rPr>
        <w:t>Les éléments de preuve versés au dossier datent-de 2004 et contiennent des publications dans la presse nationale française (par exemple Cosmopolitan, Le Figaro, Le Monde, Le Nouvel Observateur), ainsi que des films publicitaires (sur le site internet de l’opposante et sur sa chaîne YouTube) et des campagnes publicitaires destinées au public français et au public mondial concernant les produits couverts en classe 3 (principalement des produits de </w:t>
      </w:r>
      <w:r>
        <w:rPr>
          <w:i/>
          <w:sz w:val="24"/>
        </w:rPr>
        <w:t>parfumerie</w:t>
      </w:r>
      <w:r>
        <w:rPr>
          <w:sz w:val="24"/>
        </w:rPr>
        <w:t>).</w:t>
      </w:r>
    </w:p>
    <w:p>
      <w:pPr>
        <w:pStyle w:val="ListParagraph"/>
        <w:numPr>
          <w:ilvl w:val="0"/>
          <w:numId w:val="1"/>
        </w:numPr>
        <w:tabs>
          <w:tab w:pos="590" w:val="left" w:leader="none"/>
        </w:tabs>
        <w:spacing w:line="240" w:lineRule="auto" w:before="240" w:after="0"/>
        <w:ind w:left="590" w:right="160" w:hanging="425"/>
        <w:jc w:val="both"/>
        <w:rPr>
          <w:sz w:val="24"/>
        </w:rPr>
      </w:pPr>
      <w:r>
        <w:rPr>
          <w:sz w:val="24"/>
        </w:rPr>
        <w:t>Même si aucun chiffre de vente ou chiffre relatif à la part de marché n’a été produit, il ressort clairement des éléments de</w:t>
      </w:r>
      <w:r>
        <w:rPr>
          <w:spacing w:val="-1"/>
          <w:sz w:val="24"/>
        </w:rPr>
        <w:t> </w:t>
      </w:r>
      <w:r>
        <w:rPr>
          <w:sz w:val="24"/>
        </w:rPr>
        <w:t>preuve</w:t>
      </w:r>
      <w:r>
        <w:rPr>
          <w:spacing w:val="-1"/>
          <w:sz w:val="24"/>
        </w:rPr>
        <w:t> </w:t>
      </w:r>
      <w:r>
        <w:rPr>
          <w:sz w:val="24"/>
        </w:rPr>
        <w:t>versés au dossier</w:t>
      </w:r>
      <w:r>
        <w:rPr>
          <w:spacing w:val="-1"/>
          <w:sz w:val="24"/>
        </w:rPr>
        <w:t> </w:t>
      </w:r>
      <w:r>
        <w:rPr>
          <w:sz w:val="24"/>
        </w:rPr>
        <w:t>que</w:t>
      </w:r>
      <w:r>
        <w:rPr>
          <w:spacing w:val="-1"/>
          <w:sz w:val="24"/>
        </w:rPr>
        <w:t> </w:t>
      </w:r>
      <w:r>
        <w:rPr>
          <w:sz w:val="24"/>
        </w:rPr>
        <w:t>la</w:t>
      </w:r>
      <w:r>
        <w:rPr>
          <w:spacing w:val="-1"/>
          <w:sz w:val="24"/>
        </w:rPr>
        <w:t> </w:t>
      </w:r>
      <w:r>
        <w:rPr>
          <w:sz w:val="24"/>
        </w:rPr>
        <w:t>marque antérieure </w:t>
      </w:r>
      <w:r>
        <w:rPr>
          <w:b/>
          <w:sz w:val="24"/>
        </w:rPr>
        <w:t>«no 5» </w:t>
      </w:r>
      <w:r>
        <w:rPr>
          <w:sz w:val="24"/>
        </w:rPr>
        <w:t>a fait l’objet d’un usage intensif-et de longue date et est généralement connue sur le marché pertinent, où elle jouit d’une position consolidée parmi les marques leaders, comme l’attestent diverses sources indépendantes. Cela peut être déduit des nombreux exemples</w:t>
      </w:r>
      <w:r>
        <w:rPr>
          <w:spacing w:val="-11"/>
          <w:sz w:val="24"/>
        </w:rPr>
        <w:t> </w:t>
      </w:r>
      <w:r>
        <w:rPr>
          <w:sz w:val="24"/>
        </w:rPr>
        <w:t>de</w:t>
      </w:r>
      <w:r>
        <w:rPr>
          <w:spacing w:val="-13"/>
          <w:sz w:val="24"/>
        </w:rPr>
        <w:t> </w:t>
      </w:r>
      <w:r>
        <w:rPr>
          <w:sz w:val="24"/>
        </w:rPr>
        <w:t>campagnes</w:t>
      </w:r>
      <w:r>
        <w:rPr>
          <w:spacing w:val="-11"/>
          <w:sz w:val="24"/>
        </w:rPr>
        <w:t> </w:t>
      </w:r>
      <w:r>
        <w:rPr>
          <w:sz w:val="24"/>
        </w:rPr>
        <w:t>publicitaires,</w:t>
      </w:r>
      <w:r>
        <w:rPr>
          <w:spacing w:val="-11"/>
          <w:sz w:val="24"/>
        </w:rPr>
        <w:t> </w:t>
      </w:r>
      <w:r>
        <w:rPr>
          <w:sz w:val="24"/>
        </w:rPr>
        <w:t>dont</w:t>
      </w:r>
      <w:r>
        <w:rPr>
          <w:spacing w:val="-11"/>
          <w:sz w:val="24"/>
        </w:rPr>
        <w:t> </w:t>
      </w:r>
      <w:r>
        <w:rPr>
          <w:sz w:val="24"/>
        </w:rPr>
        <w:t>certaines</w:t>
      </w:r>
      <w:r>
        <w:rPr>
          <w:spacing w:val="-12"/>
          <w:sz w:val="24"/>
        </w:rPr>
        <w:t> </w:t>
      </w:r>
      <w:r>
        <w:rPr>
          <w:sz w:val="24"/>
        </w:rPr>
        <w:t>présentent</w:t>
      </w:r>
      <w:r>
        <w:rPr>
          <w:spacing w:val="-12"/>
          <w:sz w:val="24"/>
        </w:rPr>
        <w:t> </w:t>
      </w:r>
      <w:r>
        <w:rPr>
          <w:sz w:val="24"/>
        </w:rPr>
        <w:t>des</w:t>
      </w:r>
      <w:r>
        <w:rPr>
          <w:spacing w:val="-11"/>
          <w:sz w:val="24"/>
        </w:rPr>
        <w:t> </w:t>
      </w:r>
      <w:r>
        <w:rPr>
          <w:sz w:val="24"/>
        </w:rPr>
        <w:t>célébrités</w:t>
      </w:r>
      <w:r>
        <w:rPr>
          <w:spacing w:val="-11"/>
          <w:sz w:val="24"/>
        </w:rPr>
        <w:t> </w:t>
      </w:r>
      <w:r>
        <w:rPr>
          <w:sz w:val="24"/>
        </w:rPr>
        <w:t>françaises</w:t>
      </w:r>
      <w:r>
        <w:rPr>
          <w:spacing w:val="-12"/>
          <w:sz w:val="24"/>
        </w:rPr>
        <w:t> </w:t>
      </w:r>
      <w:r>
        <w:rPr>
          <w:sz w:val="24"/>
        </w:rPr>
        <w:t>et internationales telles que Nicole Kidman, Audrey Tautou, Marion Cotillard, Gisele Bündchen, qui indiquent clairement que l’opposante a dépensé beaucoup d’argent pour faire la publicité de sa marque et qu’elle occupe une position consolidée sur le marché français</w:t>
      </w:r>
      <w:r>
        <w:rPr>
          <w:spacing w:val="-7"/>
          <w:sz w:val="24"/>
        </w:rPr>
        <w:t> </w:t>
      </w:r>
      <w:r>
        <w:rPr>
          <w:sz w:val="24"/>
        </w:rPr>
        <w:t>(par</w:t>
      </w:r>
      <w:r>
        <w:rPr>
          <w:spacing w:val="-6"/>
          <w:sz w:val="24"/>
        </w:rPr>
        <w:t> </w:t>
      </w:r>
      <w:r>
        <w:rPr>
          <w:sz w:val="24"/>
        </w:rPr>
        <w:t>exemple,</w:t>
      </w:r>
      <w:r>
        <w:rPr>
          <w:spacing w:val="-7"/>
          <w:sz w:val="24"/>
        </w:rPr>
        <w:t> </w:t>
      </w:r>
      <w:r>
        <w:rPr>
          <w:sz w:val="24"/>
        </w:rPr>
        <w:t>appendices</w:t>
      </w:r>
      <w:r>
        <w:rPr>
          <w:spacing w:val="-7"/>
          <w:sz w:val="24"/>
        </w:rPr>
        <w:t> </w:t>
      </w:r>
      <w:r>
        <w:rPr>
          <w:sz w:val="24"/>
        </w:rPr>
        <w:t>3,</w:t>
      </w:r>
      <w:r>
        <w:rPr>
          <w:spacing w:val="-5"/>
          <w:sz w:val="24"/>
        </w:rPr>
        <w:t> </w:t>
      </w:r>
      <w:r>
        <w:rPr>
          <w:sz w:val="24"/>
        </w:rPr>
        <w:t>4,</w:t>
      </w:r>
      <w:r>
        <w:rPr>
          <w:spacing w:val="-7"/>
          <w:sz w:val="24"/>
        </w:rPr>
        <w:t> </w:t>
      </w:r>
      <w:r>
        <w:rPr>
          <w:sz w:val="24"/>
        </w:rPr>
        <w:t>6,</w:t>
      </w:r>
      <w:r>
        <w:rPr>
          <w:spacing w:val="-7"/>
          <w:sz w:val="24"/>
        </w:rPr>
        <w:t> </w:t>
      </w:r>
      <w:r>
        <w:rPr>
          <w:sz w:val="24"/>
        </w:rPr>
        <w:t>15,</w:t>
      </w:r>
      <w:r>
        <w:rPr>
          <w:spacing w:val="-5"/>
          <w:sz w:val="24"/>
        </w:rPr>
        <w:t> </w:t>
      </w:r>
      <w:r>
        <w:rPr>
          <w:sz w:val="24"/>
        </w:rPr>
        <w:t>18).</w:t>
      </w:r>
      <w:r>
        <w:rPr>
          <w:spacing w:val="-6"/>
          <w:sz w:val="24"/>
        </w:rPr>
        <w:t> </w:t>
      </w:r>
      <w:r>
        <w:rPr>
          <w:sz w:val="24"/>
        </w:rPr>
        <w:t>De</w:t>
      </w:r>
      <w:r>
        <w:rPr>
          <w:spacing w:val="-9"/>
          <w:sz w:val="24"/>
        </w:rPr>
        <w:t> </w:t>
      </w:r>
      <w:r>
        <w:rPr>
          <w:sz w:val="24"/>
        </w:rPr>
        <w:t>même,</w:t>
      </w:r>
      <w:r>
        <w:rPr>
          <w:spacing w:val="-5"/>
          <w:sz w:val="24"/>
        </w:rPr>
        <w:t> </w:t>
      </w:r>
      <w:r>
        <w:rPr>
          <w:sz w:val="24"/>
        </w:rPr>
        <w:t>les</w:t>
      </w:r>
      <w:r>
        <w:rPr>
          <w:spacing w:val="-8"/>
          <w:sz w:val="24"/>
        </w:rPr>
        <w:t> </w:t>
      </w:r>
      <w:r>
        <w:rPr>
          <w:sz w:val="24"/>
        </w:rPr>
        <w:t>multiples</w:t>
      </w:r>
      <w:r>
        <w:rPr>
          <w:spacing w:val="-8"/>
          <w:sz w:val="24"/>
        </w:rPr>
        <w:t> </w:t>
      </w:r>
      <w:r>
        <w:rPr>
          <w:sz w:val="24"/>
        </w:rPr>
        <w:t>références</w:t>
      </w:r>
      <w:r>
        <w:rPr>
          <w:spacing w:val="-7"/>
          <w:sz w:val="24"/>
        </w:rPr>
        <w:t> </w:t>
      </w:r>
      <w:r>
        <w:rPr>
          <w:sz w:val="24"/>
        </w:rPr>
        <w:t>dans la</w:t>
      </w:r>
      <w:r>
        <w:rPr>
          <w:spacing w:val="-1"/>
          <w:sz w:val="24"/>
        </w:rPr>
        <w:t> </w:t>
      </w:r>
      <w:r>
        <w:rPr>
          <w:sz w:val="24"/>
        </w:rPr>
        <w:t>presse</w:t>
      </w:r>
      <w:r>
        <w:rPr>
          <w:spacing w:val="-1"/>
          <w:sz w:val="24"/>
        </w:rPr>
        <w:t> </w:t>
      </w:r>
      <w:r>
        <w:rPr>
          <w:sz w:val="24"/>
        </w:rPr>
        <w:t>au succès de</w:t>
      </w:r>
      <w:r>
        <w:rPr>
          <w:spacing w:val="-1"/>
          <w:sz w:val="24"/>
        </w:rPr>
        <w:t> </w:t>
      </w:r>
      <w:r>
        <w:rPr>
          <w:sz w:val="24"/>
        </w:rPr>
        <w:t>la</w:t>
      </w:r>
      <w:r>
        <w:rPr>
          <w:spacing w:val="-1"/>
          <w:sz w:val="24"/>
        </w:rPr>
        <w:t> </w:t>
      </w:r>
      <w:r>
        <w:rPr>
          <w:sz w:val="24"/>
        </w:rPr>
        <w:t>marque</w:t>
      </w:r>
      <w:r>
        <w:rPr>
          <w:spacing w:val="-1"/>
          <w:sz w:val="24"/>
        </w:rPr>
        <w:t> </w:t>
      </w:r>
      <w:r>
        <w:rPr>
          <w:sz w:val="24"/>
        </w:rPr>
        <w:t>montrent sans équivoque</w:t>
      </w:r>
      <w:r>
        <w:rPr>
          <w:spacing w:val="-1"/>
          <w:sz w:val="24"/>
        </w:rPr>
        <w:t> </w:t>
      </w:r>
      <w:r>
        <w:rPr>
          <w:sz w:val="24"/>
        </w:rPr>
        <w:t>que</w:t>
      </w:r>
      <w:r>
        <w:rPr>
          <w:spacing w:val="-1"/>
          <w:sz w:val="24"/>
        </w:rPr>
        <w:t> </w:t>
      </w:r>
      <w:r>
        <w:rPr>
          <w:sz w:val="24"/>
        </w:rPr>
        <w:t>la</w:t>
      </w:r>
      <w:r>
        <w:rPr>
          <w:spacing w:val="-1"/>
          <w:sz w:val="24"/>
        </w:rPr>
        <w:t> </w:t>
      </w:r>
      <w:r>
        <w:rPr>
          <w:sz w:val="24"/>
        </w:rPr>
        <w:t>marque</w:t>
      </w:r>
      <w:r>
        <w:rPr>
          <w:spacing w:val="-1"/>
          <w:sz w:val="24"/>
        </w:rPr>
        <w:t> </w:t>
      </w:r>
      <w:r>
        <w:rPr>
          <w:sz w:val="24"/>
        </w:rPr>
        <w:t>jouit d’un</w:t>
      </w:r>
      <w:r>
        <w:rPr>
          <w:spacing w:val="-1"/>
          <w:sz w:val="24"/>
        </w:rPr>
        <w:t> </w:t>
      </w:r>
      <w:r>
        <w:rPr>
          <w:sz w:val="24"/>
        </w:rPr>
        <w:t>degré élevé</w:t>
      </w:r>
      <w:r>
        <w:rPr>
          <w:spacing w:val="-15"/>
          <w:sz w:val="24"/>
        </w:rPr>
        <w:t> </w:t>
      </w:r>
      <w:r>
        <w:rPr>
          <w:sz w:val="24"/>
        </w:rPr>
        <w:t>de</w:t>
      </w:r>
      <w:r>
        <w:rPr>
          <w:spacing w:val="-14"/>
          <w:sz w:val="24"/>
        </w:rPr>
        <w:t> </w:t>
      </w:r>
      <w:r>
        <w:rPr>
          <w:sz w:val="24"/>
        </w:rPr>
        <w:t>reconnaissance</w:t>
      </w:r>
      <w:r>
        <w:rPr>
          <w:spacing w:val="-14"/>
          <w:sz w:val="24"/>
        </w:rPr>
        <w:t> </w:t>
      </w:r>
      <w:r>
        <w:rPr>
          <w:sz w:val="24"/>
        </w:rPr>
        <w:t>auprès</w:t>
      </w:r>
      <w:r>
        <w:rPr>
          <w:spacing w:val="-13"/>
          <w:sz w:val="24"/>
        </w:rPr>
        <w:t> </w:t>
      </w:r>
      <w:r>
        <w:rPr>
          <w:sz w:val="24"/>
        </w:rPr>
        <w:t>du</w:t>
      </w:r>
      <w:r>
        <w:rPr>
          <w:spacing w:val="-13"/>
          <w:sz w:val="24"/>
        </w:rPr>
        <w:t> </w:t>
      </w:r>
      <w:r>
        <w:rPr>
          <w:sz w:val="24"/>
        </w:rPr>
        <w:t>public</w:t>
      </w:r>
      <w:r>
        <w:rPr>
          <w:spacing w:val="-14"/>
          <w:sz w:val="24"/>
        </w:rPr>
        <w:t> </w:t>
      </w:r>
      <w:r>
        <w:rPr>
          <w:sz w:val="24"/>
        </w:rPr>
        <w:t>pertinent</w:t>
      </w:r>
      <w:r>
        <w:rPr>
          <w:spacing w:val="-13"/>
          <w:sz w:val="24"/>
        </w:rPr>
        <w:t> </w:t>
      </w:r>
      <w:r>
        <w:rPr>
          <w:sz w:val="24"/>
        </w:rPr>
        <w:t>pour</w:t>
      </w:r>
      <w:r>
        <w:rPr>
          <w:spacing w:val="-14"/>
          <w:sz w:val="24"/>
        </w:rPr>
        <w:t> </w:t>
      </w:r>
      <w:r>
        <w:rPr>
          <w:sz w:val="24"/>
        </w:rPr>
        <w:t>les</w:t>
      </w:r>
      <w:r>
        <w:rPr>
          <w:spacing w:val="-12"/>
          <w:sz w:val="24"/>
        </w:rPr>
        <w:t> </w:t>
      </w:r>
      <w:r>
        <w:rPr>
          <w:i/>
          <w:sz w:val="24"/>
        </w:rPr>
        <w:t>parfums</w:t>
      </w:r>
      <w:r>
        <w:rPr>
          <w:i/>
          <w:spacing w:val="-13"/>
          <w:sz w:val="24"/>
        </w:rPr>
        <w:t> </w:t>
      </w:r>
      <w:r>
        <w:rPr>
          <w:sz w:val="24"/>
        </w:rPr>
        <w:t>compris</w:t>
      </w:r>
      <w:r>
        <w:rPr>
          <w:spacing w:val="-15"/>
          <w:sz w:val="24"/>
        </w:rPr>
        <w:t> </w:t>
      </w:r>
      <w:r>
        <w:rPr>
          <w:sz w:val="24"/>
        </w:rPr>
        <w:t>dans</w:t>
      </w:r>
      <w:r>
        <w:rPr>
          <w:spacing w:val="-13"/>
          <w:sz w:val="24"/>
        </w:rPr>
        <w:t> </w:t>
      </w:r>
      <w:r>
        <w:rPr>
          <w:sz w:val="24"/>
        </w:rPr>
        <w:t>la</w:t>
      </w:r>
      <w:r>
        <w:rPr>
          <w:spacing w:val="-14"/>
          <w:sz w:val="24"/>
        </w:rPr>
        <w:t> </w:t>
      </w:r>
      <w:r>
        <w:rPr>
          <w:sz w:val="24"/>
        </w:rPr>
        <w:t>classe 3 (par exemple, annexes 5, 7, 8, 12 et 16).</w:t>
      </w:r>
    </w:p>
    <w:p>
      <w:pPr>
        <w:pStyle w:val="ListParagraph"/>
        <w:numPr>
          <w:ilvl w:val="0"/>
          <w:numId w:val="1"/>
        </w:numPr>
        <w:tabs>
          <w:tab w:pos="590" w:val="left" w:leader="none"/>
        </w:tabs>
        <w:spacing w:line="240" w:lineRule="auto" w:before="241" w:after="0"/>
        <w:ind w:left="590" w:right="162" w:hanging="425"/>
        <w:jc w:val="both"/>
        <w:rPr>
          <w:sz w:val="24"/>
        </w:rPr>
      </w:pPr>
      <w:r>
        <w:rPr>
          <w:sz w:val="24"/>
        </w:rPr>
        <w:t>Ci-dessous, afin de mieux expliquer comment elle est parvenue à ses conclusions, la chambre de recours doit fournir quelques exemples non exhaustifs d’éléments de preuve qui donnent des informations sur l’usage des marques antérieures pour les produits compris dans la classe 3:</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1"/>
        <w:rPr>
          <w:sz w:val="18"/>
        </w:rPr>
      </w:pPr>
    </w:p>
    <w:p>
      <w:pPr>
        <w:spacing w:before="0"/>
        <w:ind w:left="2737" w:right="2738" w:firstLine="0"/>
        <w:jc w:val="center"/>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p>
      <w:pPr>
        <w:spacing w:after="0"/>
        <w:jc w:val="center"/>
        <w:rPr>
          <w:sz w:val="18"/>
        </w:rPr>
        <w:sectPr>
          <w:pgSz w:w="11910" w:h="16840"/>
          <w:pgMar w:header="970" w:footer="0" w:top="1180" w:bottom="280" w:left="1275" w:right="1275"/>
        </w:sectPr>
      </w:pPr>
    </w:p>
    <w:p>
      <w:pPr>
        <w:pStyle w:val="BodyText"/>
        <w:ind w:left="4299"/>
        <w:rPr>
          <w:sz w:val="20"/>
        </w:rPr>
      </w:pPr>
      <w:r>
        <w:rPr>
          <w:sz w:val="20"/>
        </w:rPr>
        <w:drawing>
          <wp:anchor distT="0" distB="0" distL="0" distR="0" allowOverlap="1" layoutInCell="1" locked="0" behindDoc="0" simplePos="0" relativeHeight="15748096">
            <wp:simplePos x="0" y="0"/>
            <wp:positionH relativeFrom="page">
              <wp:posOffset>6921372</wp:posOffset>
            </wp:positionH>
            <wp:positionV relativeFrom="page">
              <wp:posOffset>1177607</wp:posOffset>
            </wp:positionV>
            <wp:extent cx="2840590" cy="1733931"/>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14" cstate="print"/>
                    <a:stretch>
                      <a:fillRect/>
                    </a:stretch>
                  </pic:blipFill>
                  <pic:spPr>
                    <a:xfrm>
                      <a:off x="0" y="0"/>
                      <a:ext cx="2840590" cy="1733931"/>
                    </a:xfrm>
                    <a:prstGeom prst="rect">
                      <a:avLst/>
                    </a:prstGeom>
                  </pic:spPr>
                </pic:pic>
              </a:graphicData>
            </a:graphic>
          </wp:anchor>
        </w:drawing>
      </w:r>
      <w:r>
        <w:rPr>
          <w:sz w:val="20"/>
        </w:rPr>
        <w:drawing>
          <wp:anchor distT="0" distB="0" distL="0" distR="0" allowOverlap="1" layoutInCell="1" locked="0" behindDoc="0" simplePos="0" relativeHeight="15748608">
            <wp:simplePos x="0" y="0"/>
            <wp:positionH relativeFrom="page">
              <wp:posOffset>6928993</wp:posOffset>
            </wp:positionH>
            <wp:positionV relativeFrom="page">
              <wp:posOffset>3006470</wp:posOffset>
            </wp:positionV>
            <wp:extent cx="2832169" cy="3356991"/>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15" cstate="print"/>
                    <a:stretch>
                      <a:fillRect/>
                    </a:stretch>
                  </pic:blipFill>
                  <pic:spPr>
                    <a:xfrm>
                      <a:off x="0" y="0"/>
                      <a:ext cx="2832169" cy="3356991"/>
                    </a:xfrm>
                    <a:prstGeom prst="rect">
                      <a:avLst/>
                    </a:prstGeom>
                  </pic:spPr>
                </pic:pic>
              </a:graphicData>
            </a:graphic>
          </wp:anchor>
        </w:drawing>
      </w:r>
      <w:r>
        <w:rPr>
          <w:sz w:val="20"/>
        </w:rPr>
        <w:drawing>
          <wp:anchor distT="0" distB="0" distL="0" distR="0" allowOverlap="1" layoutInCell="1" locked="0" behindDoc="0" simplePos="0" relativeHeight="15749120">
            <wp:simplePos x="0" y="0"/>
            <wp:positionH relativeFrom="page">
              <wp:posOffset>3745059</wp:posOffset>
            </wp:positionH>
            <wp:positionV relativeFrom="page">
              <wp:posOffset>4168307</wp:posOffset>
            </wp:positionV>
            <wp:extent cx="3013564" cy="2343626"/>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16" cstate="print"/>
                    <a:stretch>
                      <a:fillRect/>
                    </a:stretch>
                  </pic:blipFill>
                  <pic:spPr>
                    <a:xfrm>
                      <a:off x="0" y="0"/>
                      <a:ext cx="3013564" cy="2343626"/>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749632">
                <wp:simplePos x="0" y="0"/>
                <wp:positionH relativeFrom="page">
                  <wp:posOffset>9923850</wp:posOffset>
                </wp:positionH>
                <wp:positionV relativeFrom="page">
                  <wp:posOffset>3704971</wp:posOffset>
                </wp:positionV>
                <wp:extent cx="165735" cy="15367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165735" cy="153670"/>
                        </a:xfrm>
                        <a:prstGeom prst="rect">
                          <a:avLst/>
                        </a:prstGeom>
                      </wps:spPr>
                      <wps:txbx>
                        <w:txbxContent>
                          <w:p>
                            <w:pPr>
                              <w:spacing w:before="10"/>
                              <w:ind w:left="20" w:right="0" w:firstLine="0"/>
                              <w:jc w:val="left"/>
                              <w:rPr>
                                <w:sz w:val="20"/>
                              </w:rPr>
                            </w:pPr>
                            <w:r>
                              <w:rPr>
                                <w:spacing w:val="-5"/>
                                <w:sz w:val="20"/>
                              </w:rPr>
                              <w:t>28</w:t>
                            </w:r>
                          </w:p>
                        </w:txbxContent>
                      </wps:txbx>
                      <wps:bodyPr wrap="square" lIns="0" tIns="0" rIns="0" bIns="0" rtlCol="0" vert="vert">
                        <a:noAutofit/>
                      </wps:bodyPr>
                    </wps:wsp>
                  </a:graphicData>
                </a:graphic>
              </wp:anchor>
            </w:drawing>
          </mc:Choice>
          <mc:Fallback>
            <w:pict>
              <v:shape style="position:absolute;margin-left:781.405579pt;margin-top:291.730011pt;width:13.05pt;height:12.1pt;mso-position-horizontal-relative:page;mso-position-vertical-relative:page;z-index:15749632" type="#_x0000_t202" id="docshape32" filled="false" stroked="false">
                <v:textbox inset="0,0,0,0" style="layout-flow:vertical">
                  <w:txbxContent>
                    <w:p>
                      <w:pPr>
                        <w:spacing w:before="10"/>
                        <w:ind w:left="20" w:right="0" w:firstLine="0"/>
                        <w:jc w:val="left"/>
                        <w:rPr>
                          <w:sz w:val="20"/>
                        </w:rPr>
                      </w:pPr>
                      <w:r>
                        <w:rPr>
                          <w:spacing w:val="-5"/>
                          <w:sz w:val="20"/>
                        </w:rPr>
                        <w:t>28</w:t>
                      </w:r>
                    </w:p>
                  </w:txbxContent>
                </v:textbox>
                <w10:wrap type="none"/>
              </v:shape>
            </w:pict>
          </mc:Fallback>
        </mc:AlternateContent>
      </w:r>
      <w:r>
        <w:rPr>
          <w:sz w:val="20"/>
        </w:rPr>
        <mc:AlternateContent>
          <mc:Choice Requires="wps">
            <w:drawing>
              <wp:anchor distT="0" distB="0" distL="0" distR="0" allowOverlap="1" layoutInCell="1" locked="0" behindDoc="0" simplePos="0" relativeHeight="15750144">
                <wp:simplePos x="0" y="0"/>
                <wp:positionH relativeFrom="page">
                  <wp:posOffset>518835</wp:posOffset>
                </wp:positionH>
                <wp:positionV relativeFrom="page">
                  <wp:posOffset>2603119</wp:posOffset>
                </wp:positionV>
                <wp:extent cx="152400" cy="235204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152400" cy="2352040"/>
                        </a:xfrm>
                        <a:prstGeom prst="rect">
                          <a:avLst/>
                        </a:prstGeom>
                      </wps:spPr>
                      <wps:txbx>
                        <w:txbxContent>
                          <w:p>
                            <w:pPr>
                              <w:spacing w:before="12"/>
                              <w:ind w:left="20" w:right="0" w:firstLine="0"/>
                              <w:jc w:val="left"/>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txbxContent>
                      </wps:txbx>
                      <wps:bodyPr wrap="square" lIns="0" tIns="0" rIns="0" bIns="0" rtlCol="0" vert="vert">
                        <a:noAutofit/>
                      </wps:bodyPr>
                    </wps:wsp>
                  </a:graphicData>
                </a:graphic>
              </wp:anchor>
            </w:drawing>
          </mc:Choice>
          <mc:Fallback>
            <w:pict>
              <v:shape style="position:absolute;margin-left:40.853222pt;margin-top:204.970001pt;width:12pt;height:185.2pt;mso-position-horizontal-relative:page;mso-position-vertical-relative:page;z-index:15750144" type="#_x0000_t202" id="docshape33" filled="false" stroked="false">
                <v:textbox inset="0,0,0,0" style="layout-flow:vertical">
                  <w:txbxContent>
                    <w:p>
                      <w:pPr>
                        <w:spacing w:before="12"/>
                        <w:ind w:left="20" w:right="0" w:firstLine="0"/>
                        <w:jc w:val="left"/>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txbxContent>
                </v:textbox>
                <w10:wrap type="none"/>
              </v:shape>
            </w:pict>
          </mc:Fallback>
        </mc:AlternateContent>
      </w:r>
      <w:r>
        <w:rPr>
          <w:sz w:val="20"/>
        </w:rPr>
        <w:drawing>
          <wp:inline distT="0" distB="0" distL="0" distR="0">
            <wp:extent cx="1886510" cy="3182112"/>
            <wp:effectExtent l="0" t="0" r="0" b="0"/>
            <wp:docPr id="58" name="Image 58"/>
            <wp:cNvGraphicFramePr>
              <a:graphicFrameLocks/>
            </wp:cNvGraphicFramePr>
            <a:graphic>
              <a:graphicData uri="http://schemas.openxmlformats.org/drawingml/2006/picture">
                <pic:pic>
                  <pic:nvPicPr>
                    <pic:cNvPr id="58" name="Image 58"/>
                    <pic:cNvPicPr/>
                  </pic:nvPicPr>
                  <pic:blipFill>
                    <a:blip r:embed="rId17" cstate="print"/>
                    <a:stretch>
                      <a:fillRect/>
                    </a:stretch>
                  </pic:blipFill>
                  <pic:spPr>
                    <a:xfrm>
                      <a:off x="0" y="0"/>
                      <a:ext cx="1886510" cy="3182112"/>
                    </a:xfrm>
                    <a:prstGeom prst="rect">
                      <a:avLst/>
                    </a:prstGeom>
                  </pic:spPr>
                </pic:pic>
              </a:graphicData>
            </a:graphic>
          </wp:inline>
        </w:drawing>
      </w:r>
      <w:r>
        <w:rPr>
          <w:sz w:val="20"/>
        </w:rPr>
      </w:r>
    </w:p>
    <w:p>
      <w:pPr>
        <w:pStyle w:val="BodyText"/>
        <w:spacing w:after="0"/>
        <w:rPr>
          <w:sz w:val="20"/>
        </w:rPr>
        <w:sectPr>
          <w:headerReference w:type="default" r:id="rId13"/>
          <w:pgSz w:w="16840" w:h="11910" w:orient="landscape"/>
          <w:pgMar w:header="436" w:footer="0" w:top="1400" w:bottom="280" w:left="1559" w:right="1417"/>
        </w:sectPr>
      </w:pPr>
    </w:p>
    <w:p>
      <w:pPr>
        <w:pStyle w:val="BodyText"/>
        <w:spacing w:before="4"/>
        <w:rPr>
          <w:sz w:val="17"/>
        </w:rPr>
      </w:pPr>
      <w:r>
        <w:rPr>
          <w:sz w:val="17"/>
        </w:rPr>
        <mc:AlternateContent>
          <mc:Choice Requires="wps">
            <w:drawing>
              <wp:anchor distT="0" distB="0" distL="0" distR="0" allowOverlap="1" layoutInCell="1" locked="0" behindDoc="0" simplePos="0" relativeHeight="15750656">
                <wp:simplePos x="0" y="0"/>
                <wp:positionH relativeFrom="page">
                  <wp:posOffset>4937252</wp:posOffset>
                </wp:positionH>
                <wp:positionV relativeFrom="page">
                  <wp:posOffset>946699</wp:posOffset>
                </wp:positionV>
                <wp:extent cx="4841240" cy="5545455"/>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4841240" cy="5545455"/>
                          <a:chExt cx="4841240" cy="5545455"/>
                        </a:xfrm>
                      </wpg:grpSpPr>
                      <pic:pic>
                        <pic:nvPicPr>
                          <pic:cNvPr id="60" name="Image 60"/>
                          <pic:cNvPicPr/>
                        </pic:nvPicPr>
                        <pic:blipFill>
                          <a:blip r:embed="rId18" cstate="print"/>
                          <a:stretch>
                            <a:fillRect/>
                          </a:stretch>
                        </pic:blipFill>
                        <pic:spPr>
                          <a:xfrm>
                            <a:off x="4063" y="0"/>
                            <a:ext cx="2624327" cy="2087330"/>
                          </a:xfrm>
                          <a:prstGeom prst="rect">
                            <a:avLst/>
                          </a:prstGeom>
                        </pic:spPr>
                      </pic:pic>
                      <pic:pic>
                        <pic:nvPicPr>
                          <pic:cNvPr id="61" name="Image 61"/>
                          <pic:cNvPicPr/>
                        </pic:nvPicPr>
                        <pic:blipFill>
                          <a:blip r:embed="rId19" cstate="print"/>
                          <a:stretch>
                            <a:fillRect/>
                          </a:stretch>
                        </pic:blipFill>
                        <pic:spPr>
                          <a:xfrm>
                            <a:off x="0" y="2125430"/>
                            <a:ext cx="4840732" cy="3419475"/>
                          </a:xfrm>
                          <a:prstGeom prst="rect">
                            <a:avLst/>
                          </a:prstGeom>
                        </pic:spPr>
                      </pic:pic>
                    </wpg:wgp>
                  </a:graphicData>
                </a:graphic>
              </wp:anchor>
            </w:drawing>
          </mc:Choice>
          <mc:Fallback>
            <w:pict>
              <v:group style="position:absolute;margin-left:388.76001pt;margin-top:74.543236pt;width:381.2pt;height:436.65pt;mso-position-horizontal-relative:page;mso-position-vertical-relative:page;z-index:15750656" id="docshapegroup34" coordorigin="7775,1491" coordsize="7624,8733">
                <v:shape style="position:absolute;left:7781;top:1490;width:4133;height:3288" type="#_x0000_t75" id="docshape35" stroked="false">
                  <v:imagedata r:id="rId18" o:title=""/>
                </v:shape>
                <v:shape style="position:absolute;left:7775;top:4838;width:7624;height:5385" type="#_x0000_t75" id="docshape36" stroked="false">
                  <v:imagedata r:id="rId19" o:title=""/>
                </v:shape>
                <w10:wrap type="none"/>
              </v:group>
            </w:pict>
          </mc:Fallback>
        </mc:AlternateContent>
      </w:r>
      <w:r>
        <w:rPr>
          <w:sz w:val="17"/>
        </w:rPr>
        <mc:AlternateContent>
          <mc:Choice Requires="wps">
            <w:drawing>
              <wp:anchor distT="0" distB="0" distL="0" distR="0" allowOverlap="1" layoutInCell="1" locked="0" behindDoc="0" simplePos="0" relativeHeight="15751168">
                <wp:simplePos x="0" y="0"/>
                <wp:positionH relativeFrom="page">
                  <wp:posOffset>2831973</wp:posOffset>
                </wp:positionH>
                <wp:positionV relativeFrom="page">
                  <wp:posOffset>952500</wp:posOffset>
                </wp:positionV>
                <wp:extent cx="1952625" cy="2466340"/>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1952625" cy="2466340"/>
                          <a:chExt cx="1952625" cy="2466340"/>
                        </a:xfrm>
                      </wpg:grpSpPr>
                      <pic:pic>
                        <pic:nvPicPr>
                          <pic:cNvPr id="63" name="Image 63"/>
                          <pic:cNvPicPr/>
                        </pic:nvPicPr>
                        <pic:blipFill>
                          <a:blip r:embed="rId20" cstate="print"/>
                          <a:stretch>
                            <a:fillRect/>
                          </a:stretch>
                        </pic:blipFill>
                        <pic:spPr>
                          <a:xfrm>
                            <a:off x="0" y="0"/>
                            <a:ext cx="1951101" cy="1215389"/>
                          </a:xfrm>
                          <a:prstGeom prst="rect">
                            <a:avLst/>
                          </a:prstGeom>
                        </pic:spPr>
                      </pic:pic>
                      <pic:pic>
                        <pic:nvPicPr>
                          <pic:cNvPr id="64" name="Image 64"/>
                          <pic:cNvPicPr/>
                        </pic:nvPicPr>
                        <pic:blipFill>
                          <a:blip r:embed="rId21" cstate="print"/>
                          <a:stretch>
                            <a:fillRect/>
                          </a:stretch>
                        </pic:blipFill>
                        <pic:spPr>
                          <a:xfrm>
                            <a:off x="0" y="1257300"/>
                            <a:ext cx="1952370" cy="1208868"/>
                          </a:xfrm>
                          <a:prstGeom prst="rect">
                            <a:avLst/>
                          </a:prstGeom>
                        </pic:spPr>
                      </pic:pic>
                    </wpg:wgp>
                  </a:graphicData>
                </a:graphic>
              </wp:anchor>
            </w:drawing>
          </mc:Choice>
          <mc:Fallback>
            <w:pict>
              <v:group style="position:absolute;margin-left:222.990005pt;margin-top:75pt;width:153.75pt;height:194.2pt;mso-position-horizontal-relative:page;mso-position-vertical-relative:page;z-index:15751168" id="docshapegroup37" coordorigin="4460,1500" coordsize="3075,3884">
                <v:shape style="position:absolute;left:4459;top:1500;width:3073;height:1914" type="#_x0000_t75" id="docshape38" stroked="false">
                  <v:imagedata r:id="rId20" o:title=""/>
                </v:shape>
                <v:shape style="position:absolute;left:4459;top:3480;width:3075;height:1904" type="#_x0000_t75" id="docshape39" stroked="false">
                  <v:imagedata r:id="rId21" o:title=""/>
                </v:shape>
                <w10:wrap type="none"/>
              </v:group>
            </w:pict>
          </mc:Fallback>
        </mc:AlternateContent>
      </w:r>
      <w:r>
        <w:rPr>
          <w:sz w:val="17"/>
        </w:rPr>
        <w:drawing>
          <wp:anchor distT="0" distB="0" distL="0" distR="0" allowOverlap="1" layoutInCell="1" locked="0" behindDoc="0" simplePos="0" relativeHeight="15751680">
            <wp:simplePos x="0" y="0"/>
            <wp:positionH relativeFrom="page">
              <wp:posOffset>2831719</wp:posOffset>
            </wp:positionH>
            <wp:positionV relativeFrom="page">
              <wp:posOffset>3472815</wp:posOffset>
            </wp:positionV>
            <wp:extent cx="1182546" cy="905256"/>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22" cstate="print"/>
                    <a:stretch>
                      <a:fillRect/>
                    </a:stretch>
                  </pic:blipFill>
                  <pic:spPr>
                    <a:xfrm>
                      <a:off x="0" y="0"/>
                      <a:ext cx="1182546" cy="905256"/>
                    </a:xfrm>
                    <a:prstGeom prst="rect">
                      <a:avLst/>
                    </a:prstGeom>
                  </pic:spPr>
                </pic:pic>
              </a:graphicData>
            </a:graphic>
          </wp:anchor>
        </w:drawing>
      </w:r>
      <w:r>
        <w:rPr>
          <w:sz w:val="17"/>
        </w:rPr>
        <w:drawing>
          <wp:anchor distT="0" distB="0" distL="0" distR="0" allowOverlap="1" layoutInCell="1" locked="0" behindDoc="0" simplePos="0" relativeHeight="15752192">
            <wp:simplePos x="0" y="0"/>
            <wp:positionH relativeFrom="page">
              <wp:posOffset>2831719</wp:posOffset>
            </wp:positionH>
            <wp:positionV relativeFrom="page">
              <wp:posOffset>4425315</wp:posOffset>
            </wp:positionV>
            <wp:extent cx="1793891" cy="2208276"/>
            <wp:effectExtent l="0" t="0" r="0" b="0"/>
            <wp:wrapNone/>
            <wp:docPr id="66" name="Image 66"/>
            <wp:cNvGraphicFramePr>
              <a:graphicFrameLocks/>
            </wp:cNvGraphicFramePr>
            <a:graphic>
              <a:graphicData uri="http://schemas.openxmlformats.org/drawingml/2006/picture">
                <pic:pic>
                  <pic:nvPicPr>
                    <pic:cNvPr id="66" name="Image 66"/>
                    <pic:cNvPicPr/>
                  </pic:nvPicPr>
                  <pic:blipFill>
                    <a:blip r:embed="rId23" cstate="print"/>
                    <a:stretch>
                      <a:fillRect/>
                    </a:stretch>
                  </pic:blipFill>
                  <pic:spPr>
                    <a:xfrm>
                      <a:off x="0" y="0"/>
                      <a:ext cx="1793891" cy="2208276"/>
                    </a:xfrm>
                    <a:prstGeom prst="rect">
                      <a:avLst/>
                    </a:prstGeom>
                  </pic:spPr>
                </pic:pic>
              </a:graphicData>
            </a:graphic>
          </wp:anchor>
        </w:drawing>
      </w:r>
      <w:r>
        <w:rPr>
          <w:sz w:val="17"/>
        </w:rPr>
        <w:drawing>
          <wp:anchor distT="0" distB="0" distL="0" distR="0" allowOverlap="1" layoutInCell="1" locked="0" behindDoc="0" simplePos="0" relativeHeight="15752704">
            <wp:simplePos x="0" y="0"/>
            <wp:positionH relativeFrom="page">
              <wp:posOffset>1068324</wp:posOffset>
            </wp:positionH>
            <wp:positionV relativeFrom="page">
              <wp:posOffset>2104135</wp:posOffset>
            </wp:positionV>
            <wp:extent cx="1609041" cy="3346704"/>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24" cstate="print"/>
                    <a:stretch>
                      <a:fillRect/>
                    </a:stretch>
                  </pic:blipFill>
                  <pic:spPr>
                    <a:xfrm>
                      <a:off x="0" y="0"/>
                      <a:ext cx="1609041" cy="3346704"/>
                    </a:xfrm>
                    <a:prstGeom prst="rect">
                      <a:avLst/>
                    </a:prstGeom>
                  </pic:spPr>
                </pic:pic>
              </a:graphicData>
            </a:graphic>
          </wp:anchor>
        </w:drawing>
      </w:r>
      <w:r>
        <w:rPr>
          <w:sz w:val="17"/>
        </w:rPr>
        <mc:AlternateContent>
          <mc:Choice Requires="wps">
            <w:drawing>
              <wp:anchor distT="0" distB="0" distL="0" distR="0" allowOverlap="1" layoutInCell="1" locked="0" behindDoc="0" simplePos="0" relativeHeight="15753216">
                <wp:simplePos x="0" y="0"/>
                <wp:positionH relativeFrom="page">
                  <wp:posOffset>9923850</wp:posOffset>
                </wp:positionH>
                <wp:positionV relativeFrom="page">
                  <wp:posOffset>3704971</wp:posOffset>
                </wp:positionV>
                <wp:extent cx="165735" cy="15367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165735" cy="153670"/>
                        </a:xfrm>
                        <a:prstGeom prst="rect">
                          <a:avLst/>
                        </a:prstGeom>
                      </wps:spPr>
                      <wps:txbx>
                        <w:txbxContent>
                          <w:p>
                            <w:pPr>
                              <w:spacing w:before="10"/>
                              <w:ind w:left="20" w:right="0" w:firstLine="0"/>
                              <w:jc w:val="left"/>
                              <w:rPr>
                                <w:sz w:val="20"/>
                              </w:rPr>
                            </w:pPr>
                            <w:r>
                              <w:rPr>
                                <w:spacing w:val="-5"/>
                                <w:sz w:val="20"/>
                              </w:rPr>
                              <w:t>29</w:t>
                            </w:r>
                          </w:p>
                        </w:txbxContent>
                      </wps:txbx>
                      <wps:bodyPr wrap="square" lIns="0" tIns="0" rIns="0" bIns="0" rtlCol="0" vert="vert">
                        <a:noAutofit/>
                      </wps:bodyPr>
                    </wps:wsp>
                  </a:graphicData>
                </a:graphic>
              </wp:anchor>
            </w:drawing>
          </mc:Choice>
          <mc:Fallback>
            <w:pict>
              <v:shape style="position:absolute;margin-left:781.405579pt;margin-top:291.730011pt;width:13.05pt;height:12.1pt;mso-position-horizontal-relative:page;mso-position-vertical-relative:page;z-index:15753216" type="#_x0000_t202" id="docshape40" filled="false" stroked="false">
                <v:textbox inset="0,0,0,0" style="layout-flow:vertical">
                  <w:txbxContent>
                    <w:p>
                      <w:pPr>
                        <w:spacing w:before="10"/>
                        <w:ind w:left="20" w:right="0" w:firstLine="0"/>
                        <w:jc w:val="left"/>
                        <w:rPr>
                          <w:sz w:val="20"/>
                        </w:rPr>
                      </w:pPr>
                      <w:r>
                        <w:rPr>
                          <w:spacing w:val="-5"/>
                          <w:sz w:val="20"/>
                        </w:rPr>
                        <w:t>29</w:t>
                      </w:r>
                    </w:p>
                  </w:txbxContent>
                </v:textbox>
                <w10:wrap type="none"/>
              </v:shape>
            </w:pict>
          </mc:Fallback>
        </mc:AlternateContent>
      </w:r>
      <w:r>
        <w:rPr>
          <w:sz w:val="17"/>
        </w:rPr>
        <mc:AlternateContent>
          <mc:Choice Requires="wps">
            <w:drawing>
              <wp:anchor distT="0" distB="0" distL="0" distR="0" allowOverlap="1" layoutInCell="1" locked="0" behindDoc="0" simplePos="0" relativeHeight="15753728">
                <wp:simplePos x="0" y="0"/>
                <wp:positionH relativeFrom="page">
                  <wp:posOffset>518835</wp:posOffset>
                </wp:positionH>
                <wp:positionV relativeFrom="page">
                  <wp:posOffset>2603119</wp:posOffset>
                </wp:positionV>
                <wp:extent cx="152400" cy="235204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152400" cy="2352040"/>
                        </a:xfrm>
                        <a:prstGeom prst="rect">
                          <a:avLst/>
                        </a:prstGeom>
                      </wps:spPr>
                      <wps:txbx>
                        <w:txbxContent>
                          <w:p>
                            <w:pPr>
                              <w:spacing w:before="12"/>
                              <w:ind w:left="20" w:right="0" w:firstLine="0"/>
                              <w:jc w:val="left"/>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txbxContent>
                      </wps:txbx>
                      <wps:bodyPr wrap="square" lIns="0" tIns="0" rIns="0" bIns="0" rtlCol="0" vert="vert">
                        <a:noAutofit/>
                      </wps:bodyPr>
                    </wps:wsp>
                  </a:graphicData>
                </a:graphic>
              </wp:anchor>
            </w:drawing>
          </mc:Choice>
          <mc:Fallback>
            <w:pict>
              <v:shape style="position:absolute;margin-left:40.853222pt;margin-top:204.970001pt;width:12pt;height:185.2pt;mso-position-horizontal-relative:page;mso-position-vertical-relative:page;z-index:15753728" type="#_x0000_t202" id="docshape41" filled="false" stroked="false">
                <v:textbox inset="0,0,0,0" style="layout-flow:vertical">
                  <w:txbxContent>
                    <w:p>
                      <w:pPr>
                        <w:spacing w:before="12"/>
                        <w:ind w:left="20" w:right="0" w:firstLine="0"/>
                        <w:jc w:val="left"/>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txbxContent>
                </v:textbox>
                <w10:wrap type="none"/>
              </v:shape>
            </w:pict>
          </mc:Fallback>
        </mc:AlternateContent>
      </w:r>
    </w:p>
    <w:p>
      <w:pPr>
        <w:pStyle w:val="BodyText"/>
        <w:spacing w:after="0"/>
        <w:rPr>
          <w:sz w:val="17"/>
        </w:rPr>
        <w:sectPr>
          <w:pgSz w:w="16840" w:h="11910" w:orient="landscape"/>
          <w:pgMar w:header="436" w:footer="0" w:top="1400" w:bottom="280" w:left="1559" w:right="1417"/>
        </w:sectPr>
      </w:pPr>
    </w:p>
    <w:p>
      <w:pPr>
        <w:pStyle w:val="BodyText"/>
        <w:spacing w:before="4"/>
        <w:rPr>
          <w:sz w:val="17"/>
        </w:rPr>
      </w:pPr>
      <w:r>
        <w:rPr>
          <w:sz w:val="17"/>
        </w:rPr>
        <w:drawing>
          <wp:anchor distT="0" distB="0" distL="0" distR="0" allowOverlap="1" layoutInCell="1" locked="0" behindDoc="0" simplePos="0" relativeHeight="15754240">
            <wp:simplePos x="0" y="0"/>
            <wp:positionH relativeFrom="page">
              <wp:posOffset>8047623</wp:posOffset>
            </wp:positionH>
            <wp:positionV relativeFrom="page">
              <wp:posOffset>1252966</wp:posOffset>
            </wp:positionV>
            <wp:extent cx="698595" cy="2235707"/>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25" cstate="print"/>
                    <a:stretch>
                      <a:fillRect/>
                    </a:stretch>
                  </pic:blipFill>
                  <pic:spPr>
                    <a:xfrm>
                      <a:off x="0" y="0"/>
                      <a:ext cx="698595" cy="2235707"/>
                    </a:xfrm>
                    <a:prstGeom prst="rect">
                      <a:avLst/>
                    </a:prstGeom>
                  </pic:spPr>
                </pic:pic>
              </a:graphicData>
            </a:graphic>
          </wp:anchor>
        </w:drawing>
      </w:r>
      <w:r>
        <w:rPr>
          <w:sz w:val="17"/>
        </w:rPr>
        <w:drawing>
          <wp:anchor distT="0" distB="0" distL="0" distR="0" allowOverlap="1" layoutInCell="1" locked="0" behindDoc="0" simplePos="0" relativeHeight="15754752">
            <wp:simplePos x="0" y="0"/>
            <wp:positionH relativeFrom="page">
              <wp:posOffset>7996808</wp:posOffset>
            </wp:positionH>
            <wp:positionV relativeFrom="page">
              <wp:posOffset>3565525</wp:posOffset>
            </wp:positionV>
            <wp:extent cx="1780950" cy="3026664"/>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26" cstate="print"/>
                    <a:stretch>
                      <a:fillRect/>
                    </a:stretch>
                  </pic:blipFill>
                  <pic:spPr>
                    <a:xfrm>
                      <a:off x="0" y="0"/>
                      <a:ext cx="1780950" cy="3026664"/>
                    </a:xfrm>
                    <a:prstGeom prst="rect">
                      <a:avLst/>
                    </a:prstGeom>
                  </pic:spPr>
                </pic:pic>
              </a:graphicData>
            </a:graphic>
          </wp:anchor>
        </w:drawing>
      </w:r>
      <w:r>
        <w:rPr>
          <w:sz w:val="17"/>
        </w:rPr>
        <w:drawing>
          <wp:anchor distT="0" distB="0" distL="0" distR="0" allowOverlap="1" layoutInCell="1" locked="0" behindDoc="0" simplePos="0" relativeHeight="15755264">
            <wp:simplePos x="0" y="0"/>
            <wp:positionH relativeFrom="page">
              <wp:posOffset>5186426</wp:posOffset>
            </wp:positionH>
            <wp:positionV relativeFrom="page">
              <wp:posOffset>1723290</wp:posOffset>
            </wp:positionV>
            <wp:extent cx="2327989" cy="4407408"/>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27" cstate="print"/>
                    <a:stretch>
                      <a:fillRect/>
                    </a:stretch>
                  </pic:blipFill>
                  <pic:spPr>
                    <a:xfrm>
                      <a:off x="0" y="0"/>
                      <a:ext cx="2327989" cy="4407408"/>
                    </a:xfrm>
                    <a:prstGeom prst="rect">
                      <a:avLst/>
                    </a:prstGeom>
                  </pic:spPr>
                </pic:pic>
              </a:graphicData>
            </a:graphic>
          </wp:anchor>
        </w:drawing>
      </w:r>
      <w:r>
        <w:rPr>
          <w:sz w:val="17"/>
        </w:rPr>
        <w:drawing>
          <wp:anchor distT="0" distB="0" distL="0" distR="0" allowOverlap="1" layoutInCell="1" locked="0" behindDoc="0" simplePos="0" relativeHeight="15755776">
            <wp:simplePos x="0" y="0"/>
            <wp:positionH relativeFrom="page">
              <wp:posOffset>2215260</wp:posOffset>
            </wp:positionH>
            <wp:positionV relativeFrom="page">
              <wp:posOffset>1924685</wp:posOffset>
            </wp:positionV>
            <wp:extent cx="2821791" cy="3977640"/>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28" cstate="print"/>
                    <a:stretch>
                      <a:fillRect/>
                    </a:stretch>
                  </pic:blipFill>
                  <pic:spPr>
                    <a:xfrm>
                      <a:off x="0" y="0"/>
                      <a:ext cx="2821791" cy="3977640"/>
                    </a:xfrm>
                    <a:prstGeom prst="rect">
                      <a:avLst/>
                    </a:prstGeom>
                  </pic:spPr>
                </pic:pic>
              </a:graphicData>
            </a:graphic>
          </wp:anchor>
        </w:drawing>
      </w:r>
      <w:r>
        <w:rPr>
          <w:sz w:val="17"/>
        </w:rPr>
        <mc:AlternateContent>
          <mc:Choice Requires="wps">
            <w:drawing>
              <wp:anchor distT="0" distB="0" distL="0" distR="0" allowOverlap="1" layoutInCell="1" locked="0" behindDoc="0" simplePos="0" relativeHeight="15756288">
                <wp:simplePos x="0" y="0"/>
                <wp:positionH relativeFrom="page">
                  <wp:posOffset>9923850</wp:posOffset>
                </wp:positionH>
                <wp:positionV relativeFrom="page">
                  <wp:posOffset>3704971</wp:posOffset>
                </wp:positionV>
                <wp:extent cx="165735" cy="15367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165735" cy="153670"/>
                        </a:xfrm>
                        <a:prstGeom prst="rect">
                          <a:avLst/>
                        </a:prstGeom>
                      </wps:spPr>
                      <wps:txbx>
                        <w:txbxContent>
                          <w:p>
                            <w:pPr>
                              <w:spacing w:before="10"/>
                              <w:ind w:left="20" w:right="0" w:firstLine="0"/>
                              <w:jc w:val="left"/>
                              <w:rPr>
                                <w:sz w:val="20"/>
                              </w:rPr>
                            </w:pPr>
                            <w:r>
                              <w:rPr>
                                <w:spacing w:val="-5"/>
                                <w:sz w:val="20"/>
                              </w:rPr>
                              <w:t>30</w:t>
                            </w:r>
                          </w:p>
                        </w:txbxContent>
                      </wps:txbx>
                      <wps:bodyPr wrap="square" lIns="0" tIns="0" rIns="0" bIns="0" rtlCol="0" vert="vert">
                        <a:noAutofit/>
                      </wps:bodyPr>
                    </wps:wsp>
                  </a:graphicData>
                </a:graphic>
              </wp:anchor>
            </w:drawing>
          </mc:Choice>
          <mc:Fallback>
            <w:pict>
              <v:shape style="position:absolute;margin-left:781.405579pt;margin-top:291.730011pt;width:13.05pt;height:12.1pt;mso-position-horizontal-relative:page;mso-position-vertical-relative:page;z-index:15756288" type="#_x0000_t202" id="docshape42" filled="false" stroked="false">
                <v:textbox inset="0,0,0,0" style="layout-flow:vertical">
                  <w:txbxContent>
                    <w:p>
                      <w:pPr>
                        <w:spacing w:before="10"/>
                        <w:ind w:left="20" w:right="0" w:firstLine="0"/>
                        <w:jc w:val="left"/>
                        <w:rPr>
                          <w:sz w:val="20"/>
                        </w:rPr>
                      </w:pPr>
                      <w:r>
                        <w:rPr>
                          <w:spacing w:val="-5"/>
                          <w:sz w:val="20"/>
                        </w:rPr>
                        <w:t>30</w:t>
                      </w:r>
                    </w:p>
                  </w:txbxContent>
                </v:textbox>
                <w10:wrap type="none"/>
              </v:shape>
            </w:pict>
          </mc:Fallback>
        </mc:AlternateContent>
      </w:r>
      <w:r>
        <w:rPr>
          <w:sz w:val="17"/>
        </w:rPr>
        <mc:AlternateContent>
          <mc:Choice Requires="wps">
            <w:drawing>
              <wp:anchor distT="0" distB="0" distL="0" distR="0" allowOverlap="1" layoutInCell="1" locked="0" behindDoc="0" simplePos="0" relativeHeight="15756800">
                <wp:simplePos x="0" y="0"/>
                <wp:positionH relativeFrom="page">
                  <wp:posOffset>518835</wp:posOffset>
                </wp:positionH>
                <wp:positionV relativeFrom="page">
                  <wp:posOffset>2603119</wp:posOffset>
                </wp:positionV>
                <wp:extent cx="152400" cy="235204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152400" cy="2352040"/>
                        </a:xfrm>
                        <a:prstGeom prst="rect">
                          <a:avLst/>
                        </a:prstGeom>
                      </wps:spPr>
                      <wps:txbx>
                        <w:txbxContent>
                          <w:p>
                            <w:pPr>
                              <w:spacing w:before="12"/>
                              <w:ind w:left="20" w:right="0" w:firstLine="0"/>
                              <w:jc w:val="left"/>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txbxContent>
                      </wps:txbx>
                      <wps:bodyPr wrap="square" lIns="0" tIns="0" rIns="0" bIns="0" rtlCol="0" vert="vert">
                        <a:noAutofit/>
                      </wps:bodyPr>
                    </wps:wsp>
                  </a:graphicData>
                </a:graphic>
              </wp:anchor>
            </w:drawing>
          </mc:Choice>
          <mc:Fallback>
            <w:pict>
              <v:shape style="position:absolute;margin-left:40.853222pt;margin-top:204.970001pt;width:12pt;height:185.2pt;mso-position-horizontal-relative:page;mso-position-vertical-relative:page;z-index:15756800" type="#_x0000_t202" id="docshape43" filled="false" stroked="false">
                <v:textbox inset="0,0,0,0" style="layout-flow:vertical">
                  <w:txbxContent>
                    <w:p>
                      <w:pPr>
                        <w:spacing w:before="12"/>
                        <w:ind w:left="20" w:right="0" w:firstLine="0"/>
                        <w:jc w:val="left"/>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txbxContent>
                </v:textbox>
                <w10:wrap type="none"/>
              </v:shape>
            </w:pict>
          </mc:Fallback>
        </mc:AlternateContent>
      </w:r>
    </w:p>
    <w:p>
      <w:pPr>
        <w:pStyle w:val="BodyText"/>
        <w:spacing w:after="0"/>
        <w:rPr>
          <w:sz w:val="17"/>
        </w:rPr>
        <w:sectPr>
          <w:pgSz w:w="16840" w:h="11910" w:orient="landscape"/>
          <w:pgMar w:header="436" w:footer="0" w:top="1400" w:bottom="280" w:left="1559" w:right="1417"/>
        </w:sectPr>
      </w:pPr>
    </w:p>
    <w:p>
      <w:pPr>
        <w:pStyle w:val="BodyText"/>
        <w:spacing w:before="2"/>
        <w:rPr>
          <w:sz w:val="17"/>
        </w:rPr>
      </w:pPr>
      <w:r>
        <w:rPr>
          <w:sz w:val="17"/>
        </w:rPr>
        <mc:AlternateContent>
          <mc:Choice Requires="wps">
            <w:drawing>
              <wp:anchor distT="0" distB="0" distL="0" distR="0" allowOverlap="1" layoutInCell="1" locked="0" behindDoc="0" simplePos="0" relativeHeight="15757312">
                <wp:simplePos x="0" y="0"/>
                <wp:positionH relativeFrom="page">
                  <wp:posOffset>270575</wp:posOffset>
                </wp:positionH>
                <wp:positionV relativeFrom="page">
                  <wp:posOffset>1114363</wp:posOffset>
                </wp:positionV>
                <wp:extent cx="146050" cy="921004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146050" cy="9210040"/>
                        </a:xfrm>
                        <a:prstGeom prst="rect">
                          <a:avLst/>
                        </a:prstGeom>
                      </wps:spPr>
                      <wps:txbx>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wps:txbx>
                      <wps:bodyPr wrap="square" lIns="0" tIns="0" rIns="0" bIns="0" rtlCol="0" vert="vert270">
                        <a:noAutofit/>
                      </wps:bodyPr>
                    </wps:wsp>
                  </a:graphicData>
                </a:graphic>
              </wp:anchor>
            </w:drawing>
          </mc:Choice>
          <mc:Fallback>
            <w:pict>
              <v:shape style="position:absolute;margin-left:21.305176pt;margin-top:87.745193pt;width:11.5pt;height:725.2pt;mso-position-horizontal-relative:page;mso-position-vertical-relative:page;z-index:15757312" type="#_x0000_t202" id="docshape45" filled="false" stroked="false">
                <v:textbox inset="0,0,0,0" style="layout-flow:vertical;mso-layout-flow-alt:bottom-to-top">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v:textbox>
                <w10:wrap type="none"/>
              </v:shape>
            </w:pict>
          </mc:Fallback>
        </mc:AlternateContent>
      </w:r>
    </w:p>
    <w:p>
      <w:pPr>
        <w:tabs>
          <w:tab w:pos="4880" w:val="left" w:leader="none"/>
        </w:tabs>
        <w:spacing w:line="240" w:lineRule="auto"/>
        <w:ind w:left="448" w:right="0" w:firstLine="0"/>
        <w:rPr>
          <w:position w:val="12"/>
          <w:sz w:val="20"/>
        </w:rPr>
      </w:pPr>
      <w:r>
        <w:rPr>
          <w:sz w:val="20"/>
        </w:rPr>
        <w:drawing>
          <wp:inline distT="0" distB="0" distL="0" distR="0">
            <wp:extent cx="2665844" cy="2354579"/>
            <wp:effectExtent l="0" t="0" r="0" b="0"/>
            <wp:docPr id="78" name="Image 78"/>
            <wp:cNvGraphicFramePr>
              <a:graphicFrameLocks/>
            </wp:cNvGraphicFramePr>
            <a:graphic>
              <a:graphicData uri="http://schemas.openxmlformats.org/drawingml/2006/picture">
                <pic:pic>
                  <pic:nvPicPr>
                    <pic:cNvPr id="78" name="Image 78"/>
                    <pic:cNvPicPr/>
                  </pic:nvPicPr>
                  <pic:blipFill>
                    <a:blip r:embed="rId30" cstate="print"/>
                    <a:stretch>
                      <a:fillRect/>
                    </a:stretch>
                  </pic:blipFill>
                  <pic:spPr>
                    <a:xfrm>
                      <a:off x="0" y="0"/>
                      <a:ext cx="2665844" cy="2354579"/>
                    </a:xfrm>
                    <a:prstGeom prst="rect">
                      <a:avLst/>
                    </a:prstGeom>
                  </pic:spPr>
                </pic:pic>
              </a:graphicData>
            </a:graphic>
          </wp:inline>
        </w:drawing>
      </w:r>
      <w:r>
        <w:rPr>
          <w:sz w:val="20"/>
        </w:rPr>
      </w:r>
      <w:r>
        <w:rPr>
          <w:sz w:val="20"/>
        </w:rPr>
        <w:tab/>
      </w:r>
      <w:r>
        <w:rPr>
          <w:position w:val="12"/>
          <w:sz w:val="20"/>
        </w:rPr>
        <w:drawing>
          <wp:inline distT="0" distB="0" distL="0" distR="0">
            <wp:extent cx="2526986" cy="2529744"/>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31" cstate="print"/>
                    <a:stretch>
                      <a:fillRect/>
                    </a:stretch>
                  </pic:blipFill>
                  <pic:spPr>
                    <a:xfrm>
                      <a:off x="0" y="0"/>
                      <a:ext cx="2526986" cy="2529744"/>
                    </a:xfrm>
                    <a:prstGeom prst="rect">
                      <a:avLst/>
                    </a:prstGeom>
                  </pic:spPr>
                </pic:pic>
              </a:graphicData>
            </a:graphic>
          </wp:inline>
        </w:drawing>
      </w:r>
      <w:r>
        <w:rPr>
          <w:position w:val="12"/>
          <w:sz w:val="20"/>
        </w:rPr>
      </w:r>
    </w:p>
    <w:p>
      <w:pPr>
        <w:pStyle w:val="ListParagraph"/>
        <w:numPr>
          <w:ilvl w:val="0"/>
          <w:numId w:val="1"/>
        </w:numPr>
        <w:tabs>
          <w:tab w:pos="448" w:val="left" w:leader="none"/>
        </w:tabs>
        <w:spacing w:line="240" w:lineRule="auto" w:before="251" w:after="0"/>
        <w:ind w:left="448" w:right="18" w:hanging="425"/>
        <w:jc w:val="both"/>
        <w:rPr>
          <w:sz w:val="24"/>
        </w:rPr>
      </w:pPr>
      <w:r>
        <w:rPr>
          <w:sz w:val="24"/>
        </w:rPr>
        <w:t>Compte tenu de ce qui précède, l’opposante a prouvé que le grand public pertinent en France reconnaît que la marque antérieure </w:t>
      </w:r>
      <w:r>
        <w:rPr>
          <w:b/>
          <w:sz w:val="24"/>
        </w:rPr>
        <w:t>«no 5» </w:t>
      </w:r>
      <w:r>
        <w:rPr>
          <w:sz w:val="24"/>
        </w:rPr>
        <w:t>possède une capacité accrue ou une grande capacité à identifier au moins une partie des produits pour lesquels elle est enregistrée comme provenant d’une entreprise déterminée, à savoir des produits de </w:t>
      </w:r>
      <w:r>
        <w:rPr>
          <w:i/>
          <w:sz w:val="24"/>
        </w:rPr>
        <w:t>parfumerie</w:t>
      </w:r>
      <w:r>
        <w:rPr>
          <w:i/>
          <w:spacing w:val="-11"/>
          <w:sz w:val="24"/>
        </w:rPr>
        <w:t> </w:t>
      </w:r>
      <w:r>
        <w:rPr>
          <w:sz w:val="24"/>
        </w:rPr>
        <w:t>compris</w:t>
      </w:r>
      <w:r>
        <w:rPr>
          <w:spacing w:val="-10"/>
          <w:sz w:val="24"/>
        </w:rPr>
        <w:t> </w:t>
      </w:r>
      <w:r>
        <w:rPr>
          <w:sz w:val="24"/>
        </w:rPr>
        <w:t>dans</w:t>
      </w:r>
      <w:r>
        <w:rPr>
          <w:spacing w:val="-8"/>
          <w:sz w:val="24"/>
        </w:rPr>
        <w:t> </w:t>
      </w:r>
      <w:r>
        <w:rPr>
          <w:sz w:val="24"/>
        </w:rPr>
        <w:t>la</w:t>
      </w:r>
      <w:r>
        <w:rPr>
          <w:spacing w:val="-11"/>
          <w:sz w:val="24"/>
        </w:rPr>
        <w:t> </w:t>
      </w:r>
      <w:r>
        <w:rPr>
          <w:sz w:val="24"/>
        </w:rPr>
        <w:t>classe</w:t>
      </w:r>
      <w:r>
        <w:rPr>
          <w:spacing w:val="-12"/>
          <w:sz w:val="24"/>
        </w:rPr>
        <w:t> </w:t>
      </w:r>
      <w:r>
        <w:rPr>
          <w:sz w:val="24"/>
        </w:rPr>
        <w:t>3</w:t>
      </w:r>
      <w:r>
        <w:rPr>
          <w:spacing w:val="-8"/>
          <w:sz w:val="24"/>
        </w:rPr>
        <w:t> </w:t>
      </w:r>
      <w:r>
        <w:rPr>
          <w:sz w:val="24"/>
        </w:rPr>
        <w:t>&amp;bra;</w:t>
      </w:r>
      <w:r>
        <w:rPr>
          <w:spacing w:val="-10"/>
          <w:sz w:val="24"/>
        </w:rPr>
        <w:t> </w:t>
      </w:r>
      <w:r>
        <w:rPr>
          <w:sz w:val="24"/>
        </w:rPr>
        <w:t>comparer</w:t>
      </w:r>
      <w:r>
        <w:rPr>
          <w:spacing w:val="-11"/>
          <w:sz w:val="24"/>
        </w:rPr>
        <w:t> </w:t>
      </w:r>
      <w:r>
        <w:rPr>
          <w:sz w:val="24"/>
        </w:rPr>
        <w:t>également</w:t>
      </w:r>
      <w:r>
        <w:rPr>
          <w:spacing w:val="-10"/>
          <w:sz w:val="24"/>
        </w:rPr>
        <w:t> </w:t>
      </w:r>
      <w:r>
        <w:rPr>
          <w:sz w:val="24"/>
        </w:rPr>
        <w:t>22/07/2020,</w:t>
      </w:r>
      <w:r>
        <w:rPr>
          <w:spacing w:val="-11"/>
          <w:sz w:val="24"/>
        </w:rPr>
        <w:t> </w:t>
      </w:r>
      <w:r>
        <w:rPr>
          <w:sz w:val="24"/>
        </w:rPr>
        <w:t>R</w:t>
      </w:r>
      <w:r>
        <w:rPr>
          <w:spacing w:val="-10"/>
          <w:sz w:val="24"/>
        </w:rPr>
        <w:t> </w:t>
      </w:r>
      <w:r>
        <w:rPr>
          <w:sz w:val="24"/>
        </w:rPr>
        <w:t>2688/2019- 2, no 5 (fig.)/No 5 (fig.) et al., § 23, reconnaissant la renommée de la même marque antérieure en France pour des </w:t>
      </w:r>
      <w:r>
        <w:rPr>
          <w:i/>
          <w:sz w:val="24"/>
        </w:rPr>
        <w:t>produits de parfumerie </w:t>
      </w:r>
      <w:r>
        <w:rPr>
          <w:sz w:val="24"/>
        </w:rPr>
        <w:t>compris dans la classe 3 &amp;ket;.</w:t>
      </w:r>
    </w:p>
    <w:p>
      <w:pPr>
        <w:pStyle w:val="ListParagraph"/>
        <w:numPr>
          <w:ilvl w:val="0"/>
          <w:numId w:val="1"/>
        </w:numPr>
        <w:tabs>
          <w:tab w:pos="448" w:val="left" w:leader="none"/>
        </w:tabs>
        <w:spacing w:line="240" w:lineRule="auto" w:before="240" w:after="0"/>
        <w:ind w:left="448" w:right="19" w:hanging="425"/>
        <w:jc w:val="both"/>
        <w:rPr>
          <w:sz w:val="24"/>
        </w:rPr>
      </w:pPr>
      <w:r>
        <w:rPr>
          <w:sz w:val="24"/>
        </w:rPr>
        <w:t>Par</w:t>
      </w:r>
      <w:r>
        <w:rPr>
          <w:spacing w:val="-15"/>
          <w:sz w:val="24"/>
        </w:rPr>
        <w:t> </w:t>
      </w:r>
      <w:r>
        <w:rPr>
          <w:sz w:val="24"/>
        </w:rPr>
        <w:t>conséquent,</w:t>
      </w:r>
      <w:r>
        <w:rPr>
          <w:spacing w:val="-15"/>
          <w:sz w:val="24"/>
        </w:rPr>
        <w:t> </w:t>
      </w:r>
      <w:r>
        <w:rPr>
          <w:sz w:val="24"/>
        </w:rPr>
        <w:t>les</w:t>
      </w:r>
      <w:r>
        <w:rPr>
          <w:spacing w:val="-15"/>
          <w:sz w:val="24"/>
        </w:rPr>
        <w:t> </w:t>
      </w:r>
      <w:r>
        <w:rPr>
          <w:sz w:val="24"/>
        </w:rPr>
        <w:t>éléments</w:t>
      </w:r>
      <w:r>
        <w:rPr>
          <w:spacing w:val="-15"/>
          <w:sz w:val="24"/>
        </w:rPr>
        <w:t> </w:t>
      </w:r>
      <w:r>
        <w:rPr>
          <w:sz w:val="24"/>
        </w:rPr>
        <w:t>de</w:t>
      </w:r>
      <w:r>
        <w:rPr>
          <w:spacing w:val="-15"/>
          <w:sz w:val="24"/>
        </w:rPr>
        <w:t> </w:t>
      </w:r>
      <w:r>
        <w:rPr>
          <w:sz w:val="24"/>
        </w:rPr>
        <w:t>preuve</w:t>
      </w:r>
      <w:r>
        <w:rPr>
          <w:spacing w:val="-15"/>
          <w:sz w:val="24"/>
        </w:rPr>
        <w:t> </w:t>
      </w:r>
      <w:r>
        <w:rPr>
          <w:sz w:val="24"/>
        </w:rPr>
        <w:t>versés</w:t>
      </w:r>
      <w:r>
        <w:rPr>
          <w:spacing w:val="-15"/>
          <w:sz w:val="24"/>
        </w:rPr>
        <w:t> </w:t>
      </w:r>
      <w:r>
        <w:rPr>
          <w:sz w:val="24"/>
        </w:rPr>
        <w:t>au</w:t>
      </w:r>
      <w:r>
        <w:rPr>
          <w:spacing w:val="-15"/>
          <w:sz w:val="24"/>
        </w:rPr>
        <w:t> </w:t>
      </w:r>
      <w:r>
        <w:rPr>
          <w:sz w:val="24"/>
        </w:rPr>
        <w:t>dossier</w:t>
      </w:r>
      <w:r>
        <w:rPr>
          <w:spacing w:val="-15"/>
          <w:sz w:val="24"/>
        </w:rPr>
        <w:t> </w:t>
      </w:r>
      <w:r>
        <w:rPr>
          <w:sz w:val="24"/>
        </w:rPr>
        <w:t>suffisent</w:t>
      </w:r>
      <w:r>
        <w:rPr>
          <w:spacing w:val="-15"/>
          <w:sz w:val="24"/>
        </w:rPr>
        <w:t> </w:t>
      </w:r>
      <w:r>
        <w:rPr>
          <w:sz w:val="24"/>
        </w:rPr>
        <w:t>à</w:t>
      </w:r>
      <w:r>
        <w:rPr>
          <w:spacing w:val="-15"/>
          <w:sz w:val="24"/>
        </w:rPr>
        <w:t> </w:t>
      </w:r>
      <w:r>
        <w:rPr>
          <w:sz w:val="24"/>
        </w:rPr>
        <w:t>démontrer</w:t>
      </w:r>
      <w:r>
        <w:rPr>
          <w:spacing w:val="-15"/>
          <w:sz w:val="24"/>
        </w:rPr>
        <w:t> </w:t>
      </w:r>
      <w:r>
        <w:rPr>
          <w:sz w:val="24"/>
        </w:rPr>
        <w:t>un</w:t>
      </w:r>
      <w:r>
        <w:rPr>
          <w:spacing w:val="-15"/>
          <w:sz w:val="24"/>
        </w:rPr>
        <w:t> </w:t>
      </w:r>
      <w:r>
        <w:rPr>
          <w:sz w:val="24"/>
        </w:rPr>
        <w:t>caractère distinctif</w:t>
      </w:r>
      <w:r>
        <w:rPr>
          <w:spacing w:val="-3"/>
          <w:sz w:val="24"/>
        </w:rPr>
        <w:t> </w:t>
      </w:r>
      <w:r>
        <w:rPr>
          <w:sz w:val="24"/>
        </w:rPr>
        <w:t>accru</w:t>
      </w:r>
      <w:r>
        <w:rPr>
          <w:spacing w:val="-3"/>
          <w:sz w:val="24"/>
        </w:rPr>
        <w:t> </w:t>
      </w:r>
      <w:r>
        <w:rPr>
          <w:sz w:val="24"/>
        </w:rPr>
        <w:t>de</w:t>
      </w:r>
      <w:r>
        <w:rPr>
          <w:spacing w:val="-3"/>
          <w:sz w:val="24"/>
        </w:rPr>
        <w:t> </w:t>
      </w:r>
      <w:r>
        <w:rPr>
          <w:sz w:val="24"/>
        </w:rPr>
        <w:t>la</w:t>
      </w:r>
      <w:r>
        <w:rPr>
          <w:spacing w:val="-3"/>
          <w:sz w:val="24"/>
        </w:rPr>
        <w:t> </w:t>
      </w:r>
      <w:r>
        <w:rPr>
          <w:sz w:val="24"/>
        </w:rPr>
        <w:t>marque</w:t>
      </w:r>
      <w:r>
        <w:rPr>
          <w:spacing w:val="-3"/>
          <w:sz w:val="24"/>
        </w:rPr>
        <w:t> </w:t>
      </w:r>
      <w:r>
        <w:rPr>
          <w:sz w:val="24"/>
        </w:rPr>
        <w:t>antérieure</w:t>
      </w:r>
      <w:r>
        <w:rPr>
          <w:spacing w:val="-3"/>
          <w:sz w:val="24"/>
        </w:rPr>
        <w:t> </w:t>
      </w:r>
      <w:r>
        <w:rPr>
          <w:b/>
          <w:sz w:val="24"/>
        </w:rPr>
        <w:t>«no</w:t>
      </w:r>
      <w:r>
        <w:rPr>
          <w:b/>
          <w:spacing w:val="-3"/>
          <w:sz w:val="24"/>
        </w:rPr>
        <w:t> </w:t>
      </w:r>
      <w:r>
        <w:rPr>
          <w:b/>
          <w:sz w:val="24"/>
        </w:rPr>
        <w:t>5»</w:t>
      </w:r>
      <w:r>
        <w:rPr>
          <w:sz w:val="24"/>
        </w:rPr>
        <w:t>,</w:t>
      </w:r>
      <w:r>
        <w:rPr>
          <w:spacing w:val="-1"/>
          <w:sz w:val="24"/>
        </w:rPr>
        <w:t> </w:t>
      </w:r>
      <w:r>
        <w:rPr>
          <w:sz w:val="24"/>
        </w:rPr>
        <w:t>allant</w:t>
      </w:r>
      <w:r>
        <w:rPr>
          <w:spacing w:val="-3"/>
          <w:sz w:val="24"/>
        </w:rPr>
        <w:t> </w:t>
      </w:r>
      <w:r>
        <w:rPr>
          <w:sz w:val="24"/>
        </w:rPr>
        <w:t>de</w:t>
      </w:r>
      <w:r>
        <w:rPr>
          <w:spacing w:val="-3"/>
          <w:sz w:val="24"/>
        </w:rPr>
        <w:t> </w:t>
      </w:r>
      <w:r>
        <w:rPr>
          <w:sz w:val="24"/>
        </w:rPr>
        <w:t>faible</w:t>
      </w:r>
      <w:r>
        <w:rPr>
          <w:spacing w:val="-2"/>
          <w:sz w:val="24"/>
        </w:rPr>
        <w:t> </w:t>
      </w:r>
      <w:r>
        <w:rPr>
          <w:sz w:val="24"/>
        </w:rPr>
        <w:t>à</w:t>
      </w:r>
      <w:r>
        <w:rPr>
          <w:spacing w:val="-3"/>
          <w:sz w:val="24"/>
        </w:rPr>
        <w:t> </w:t>
      </w:r>
      <w:r>
        <w:rPr>
          <w:sz w:val="24"/>
        </w:rPr>
        <w:t>moyen</w:t>
      </w:r>
      <w:r>
        <w:rPr>
          <w:spacing w:val="-3"/>
          <w:sz w:val="24"/>
        </w:rPr>
        <w:t> </w:t>
      </w:r>
      <w:r>
        <w:rPr>
          <w:sz w:val="24"/>
        </w:rPr>
        <w:t>pour</w:t>
      </w:r>
      <w:r>
        <w:rPr>
          <w:spacing w:val="-3"/>
          <w:sz w:val="24"/>
        </w:rPr>
        <w:t> </w:t>
      </w:r>
      <w:r>
        <w:rPr>
          <w:sz w:val="24"/>
        </w:rPr>
        <w:t>les</w:t>
      </w:r>
      <w:r>
        <w:rPr>
          <w:spacing w:val="-1"/>
          <w:sz w:val="24"/>
        </w:rPr>
        <w:t> </w:t>
      </w:r>
      <w:r>
        <w:rPr>
          <w:i/>
          <w:sz w:val="24"/>
        </w:rPr>
        <w:t>produits de parfumerie </w:t>
      </w:r>
      <w:r>
        <w:rPr>
          <w:sz w:val="24"/>
        </w:rPr>
        <w:t>compris dans la classe 3.</w:t>
      </w:r>
    </w:p>
    <w:p>
      <w:pPr>
        <w:pStyle w:val="ListParagraph"/>
        <w:numPr>
          <w:ilvl w:val="0"/>
          <w:numId w:val="1"/>
        </w:numPr>
        <w:tabs>
          <w:tab w:pos="448" w:val="left" w:leader="none"/>
        </w:tabs>
        <w:spacing w:line="240" w:lineRule="auto" w:before="241" w:after="0"/>
        <w:ind w:left="448" w:right="15" w:hanging="425"/>
        <w:jc w:val="both"/>
        <w:rPr>
          <w:sz w:val="24"/>
        </w:rPr>
      </w:pPr>
      <w:r>
        <w:rPr>
          <w:sz w:val="24"/>
        </w:rPr>
        <w:t>Par conséquent, la chambre de recours conclut que la marque antérieure </w:t>
      </w:r>
      <w:r>
        <w:rPr>
          <w:b/>
          <w:sz w:val="24"/>
        </w:rPr>
        <w:t>«no 5» </w:t>
      </w:r>
      <w:r>
        <w:rPr>
          <w:sz w:val="24"/>
        </w:rPr>
        <w:t>possède un caractère</w:t>
      </w:r>
      <w:r>
        <w:rPr>
          <w:spacing w:val="-2"/>
          <w:sz w:val="24"/>
        </w:rPr>
        <w:t> </w:t>
      </w:r>
      <w:r>
        <w:rPr>
          <w:sz w:val="24"/>
        </w:rPr>
        <w:t>distinctif</w:t>
      </w:r>
      <w:r>
        <w:rPr>
          <w:spacing w:val="-1"/>
          <w:sz w:val="24"/>
        </w:rPr>
        <w:t> </w:t>
      </w:r>
      <w:r>
        <w:rPr>
          <w:sz w:val="24"/>
        </w:rPr>
        <w:t>moyen pour</w:t>
      </w:r>
      <w:r>
        <w:rPr>
          <w:spacing w:val="-1"/>
          <w:sz w:val="24"/>
        </w:rPr>
        <w:t> </w:t>
      </w:r>
      <w:r>
        <w:rPr>
          <w:sz w:val="24"/>
        </w:rPr>
        <w:t>les </w:t>
      </w:r>
      <w:r>
        <w:rPr>
          <w:i/>
          <w:sz w:val="24"/>
        </w:rPr>
        <w:t>produits de parfumerie </w:t>
      </w:r>
      <w:r>
        <w:rPr>
          <w:sz w:val="24"/>
        </w:rPr>
        <w:t>compris dans la</w:t>
      </w:r>
      <w:r>
        <w:rPr>
          <w:spacing w:val="-1"/>
          <w:sz w:val="24"/>
        </w:rPr>
        <w:t> </w:t>
      </w:r>
      <w:r>
        <w:rPr>
          <w:sz w:val="24"/>
        </w:rPr>
        <w:t>classe</w:t>
      </w:r>
      <w:r>
        <w:rPr>
          <w:spacing w:val="-1"/>
          <w:sz w:val="24"/>
        </w:rPr>
        <w:t> </w:t>
      </w:r>
      <w:r>
        <w:rPr>
          <w:sz w:val="24"/>
        </w:rPr>
        <w:t>3 en raison d’un usage intensif et d’une reconnaissance sur le marché français.</w:t>
      </w:r>
    </w:p>
    <w:p>
      <w:pPr>
        <w:pStyle w:val="BodyText"/>
        <w:spacing w:before="84"/>
      </w:pPr>
    </w:p>
    <w:p>
      <w:pPr>
        <w:spacing w:before="0"/>
        <w:ind w:left="448" w:right="0" w:firstLine="0"/>
        <w:jc w:val="both"/>
        <w:rPr>
          <w:i/>
          <w:sz w:val="24"/>
        </w:rPr>
      </w:pPr>
      <w:r>
        <w:rPr>
          <w:i/>
          <w:sz w:val="24"/>
        </w:rPr>
        <w:t>Appréciation</w:t>
      </w:r>
      <w:r>
        <w:rPr>
          <w:i/>
          <w:spacing w:val="-1"/>
          <w:sz w:val="24"/>
        </w:rPr>
        <w:t> </w:t>
      </w:r>
      <w:r>
        <w:rPr>
          <w:i/>
          <w:sz w:val="24"/>
        </w:rPr>
        <w:t>globale du</w:t>
      </w:r>
      <w:r>
        <w:rPr>
          <w:i/>
          <w:spacing w:val="-1"/>
          <w:sz w:val="24"/>
        </w:rPr>
        <w:t> </w:t>
      </w:r>
      <w:r>
        <w:rPr>
          <w:i/>
          <w:sz w:val="24"/>
        </w:rPr>
        <w:t>risque de</w:t>
      </w:r>
      <w:r>
        <w:rPr>
          <w:i/>
          <w:spacing w:val="-2"/>
          <w:sz w:val="24"/>
        </w:rPr>
        <w:t> confusion</w:t>
      </w:r>
    </w:p>
    <w:p>
      <w:pPr>
        <w:pStyle w:val="ListParagraph"/>
        <w:numPr>
          <w:ilvl w:val="0"/>
          <w:numId w:val="1"/>
        </w:numPr>
        <w:tabs>
          <w:tab w:pos="448" w:val="left" w:leader="none"/>
        </w:tabs>
        <w:spacing w:line="240" w:lineRule="auto" w:before="240" w:after="0"/>
        <w:ind w:left="448" w:right="17" w:hanging="425"/>
        <w:jc w:val="both"/>
        <w:rPr>
          <w:sz w:val="24"/>
        </w:rPr>
      </w:pPr>
      <w:r>
        <w:rPr>
          <w:sz w:val="24"/>
        </w:rPr>
        <w:t>L’appréciation</w:t>
      </w:r>
      <w:r>
        <w:rPr>
          <w:spacing w:val="-15"/>
          <w:sz w:val="24"/>
        </w:rPr>
        <w:t> </w:t>
      </w:r>
      <w:r>
        <w:rPr>
          <w:sz w:val="24"/>
        </w:rPr>
        <w:t>du</w:t>
      </w:r>
      <w:r>
        <w:rPr>
          <w:spacing w:val="-15"/>
          <w:sz w:val="24"/>
        </w:rPr>
        <w:t> </w:t>
      </w:r>
      <w:r>
        <w:rPr>
          <w:sz w:val="24"/>
        </w:rPr>
        <w:t>risque</w:t>
      </w:r>
      <w:r>
        <w:rPr>
          <w:spacing w:val="-15"/>
          <w:sz w:val="24"/>
        </w:rPr>
        <w:t> </w:t>
      </w:r>
      <w:r>
        <w:rPr>
          <w:sz w:val="24"/>
        </w:rPr>
        <w:t>de</w:t>
      </w:r>
      <w:r>
        <w:rPr>
          <w:spacing w:val="-15"/>
          <w:sz w:val="24"/>
        </w:rPr>
        <w:t> </w:t>
      </w:r>
      <w:r>
        <w:rPr>
          <w:sz w:val="24"/>
        </w:rPr>
        <w:t>confusion</w:t>
      </w:r>
      <w:r>
        <w:rPr>
          <w:spacing w:val="-15"/>
          <w:sz w:val="24"/>
        </w:rPr>
        <w:t> </w:t>
      </w:r>
      <w:r>
        <w:rPr>
          <w:sz w:val="24"/>
        </w:rPr>
        <w:t>dans</w:t>
      </w:r>
      <w:r>
        <w:rPr>
          <w:spacing w:val="-15"/>
          <w:sz w:val="24"/>
        </w:rPr>
        <w:t> </w:t>
      </w:r>
      <w:r>
        <w:rPr>
          <w:sz w:val="24"/>
        </w:rPr>
        <w:t>l’esprit</w:t>
      </w:r>
      <w:r>
        <w:rPr>
          <w:spacing w:val="-13"/>
          <w:sz w:val="24"/>
        </w:rPr>
        <w:t> </w:t>
      </w:r>
      <w:r>
        <w:rPr>
          <w:sz w:val="24"/>
        </w:rPr>
        <w:t>du</w:t>
      </w:r>
      <w:r>
        <w:rPr>
          <w:spacing w:val="-15"/>
          <w:sz w:val="24"/>
        </w:rPr>
        <w:t> </w:t>
      </w:r>
      <w:r>
        <w:rPr>
          <w:sz w:val="24"/>
        </w:rPr>
        <w:t>public</w:t>
      </w:r>
      <w:r>
        <w:rPr>
          <w:spacing w:val="-15"/>
          <w:sz w:val="24"/>
        </w:rPr>
        <w:t> </w:t>
      </w:r>
      <w:r>
        <w:rPr>
          <w:sz w:val="24"/>
        </w:rPr>
        <w:t>dépend</w:t>
      </w:r>
      <w:r>
        <w:rPr>
          <w:spacing w:val="-15"/>
          <w:sz w:val="24"/>
        </w:rPr>
        <w:t> </w:t>
      </w:r>
      <w:r>
        <w:rPr>
          <w:sz w:val="24"/>
        </w:rPr>
        <w:t>de</w:t>
      </w:r>
      <w:r>
        <w:rPr>
          <w:spacing w:val="-14"/>
          <w:sz w:val="24"/>
        </w:rPr>
        <w:t> </w:t>
      </w:r>
      <w:r>
        <w:rPr>
          <w:sz w:val="24"/>
        </w:rPr>
        <w:t>nombreux</w:t>
      </w:r>
      <w:r>
        <w:rPr>
          <w:spacing w:val="-13"/>
          <w:sz w:val="24"/>
        </w:rPr>
        <w:t> </w:t>
      </w:r>
      <w:r>
        <w:rPr>
          <w:sz w:val="24"/>
        </w:rPr>
        <w:t>facteurs et notamment de la connaissance de la marque antérieure sur le marché, de l’association qui</w:t>
      </w:r>
      <w:r>
        <w:rPr>
          <w:spacing w:val="-15"/>
          <w:sz w:val="24"/>
        </w:rPr>
        <w:t> </w:t>
      </w:r>
      <w:r>
        <w:rPr>
          <w:sz w:val="24"/>
        </w:rPr>
        <w:t>peut</w:t>
      </w:r>
      <w:r>
        <w:rPr>
          <w:spacing w:val="-15"/>
          <w:sz w:val="24"/>
        </w:rPr>
        <w:t> </w:t>
      </w:r>
      <w:r>
        <w:rPr>
          <w:sz w:val="24"/>
        </w:rPr>
        <w:t>en</w:t>
      </w:r>
      <w:r>
        <w:rPr>
          <w:spacing w:val="-15"/>
          <w:sz w:val="24"/>
        </w:rPr>
        <w:t> </w:t>
      </w:r>
      <w:r>
        <w:rPr>
          <w:sz w:val="24"/>
        </w:rPr>
        <w:t>être</w:t>
      </w:r>
      <w:r>
        <w:rPr>
          <w:spacing w:val="-15"/>
          <w:sz w:val="24"/>
        </w:rPr>
        <w:t> </w:t>
      </w:r>
      <w:r>
        <w:rPr>
          <w:sz w:val="24"/>
        </w:rPr>
        <w:t>faite</w:t>
      </w:r>
      <w:r>
        <w:rPr>
          <w:spacing w:val="-15"/>
          <w:sz w:val="24"/>
        </w:rPr>
        <w:t> </w:t>
      </w:r>
      <w:r>
        <w:rPr>
          <w:sz w:val="24"/>
        </w:rPr>
        <w:t>avec</w:t>
      </w:r>
      <w:r>
        <w:rPr>
          <w:spacing w:val="-15"/>
          <w:sz w:val="24"/>
        </w:rPr>
        <w:t> </w:t>
      </w:r>
      <w:r>
        <w:rPr>
          <w:sz w:val="24"/>
        </w:rPr>
        <w:t>la</w:t>
      </w:r>
      <w:r>
        <w:rPr>
          <w:spacing w:val="-15"/>
          <w:sz w:val="24"/>
        </w:rPr>
        <w:t> </w:t>
      </w:r>
      <w:r>
        <w:rPr>
          <w:sz w:val="24"/>
        </w:rPr>
        <w:t>marque</w:t>
      </w:r>
      <w:r>
        <w:rPr>
          <w:spacing w:val="-15"/>
          <w:sz w:val="24"/>
        </w:rPr>
        <w:t> </w:t>
      </w:r>
      <w:r>
        <w:rPr>
          <w:sz w:val="24"/>
        </w:rPr>
        <w:t>enregistrée,</w:t>
      </w:r>
      <w:r>
        <w:rPr>
          <w:spacing w:val="-15"/>
          <w:sz w:val="24"/>
        </w:rPr>
        <w:t> </w:t>
      </w:r>
      <w:r>
        <w:rPr>
          <w:sz w:val="24"/>
        </w:rPr>
        <w:t>et</w:t>
      </w:r>
      <w:r>
        <w:rPr>
          <w:spacing w:val="-15"/>
          <w:sz w:val="24"/>
        </w:rPr>
        <w:t> </w:t>
      </w:r>
      <w:r>
        <w:rPr>
          <w:sz w:val="24"/>
        </w:rPr>
        <w:t>du</w:t>
      </w:r>
      <w:r>
        <w:rPr>
          <w:spacing w:val="-15"/>
          <w:sz w:val="24"/>
        </w:rPr>
        <w:t> </w:t>
      </w:r>
      <w:r>
        <w:rPr>
          <w:sz w:val="24"/>
        </w:rPr>
        <w:t>degré</w:t>
      </w:r>
      <w:r>
        <w:rPr>
          <w:spacing w:val="-15"/>
          <w:sz w:val="24"/>
        </w:rPr>
        <w:t> </w:t>
      </w:r>
      <w:r>
        <w:rPr>
          <w:sz w:val="24"/>
        </w:rPr>
        <w:t>de</w:t>
      </w:r>
      <w:r>
        <w:rPr>
          <w:spacing w:val="-15"/>
          <w:sz w:val="24"/>
        </w:rPr>
        <w:t> </w:t>
      </w:r>
      <w:r>
        <w:rPr>
          <w:sz w:val="24"/>
        </w:rPr>
        <w:t>similitude</w:t>
      </w:r>
      <w:r>
        <w:rPr>
          <w:spacing w:val="-15"/>
          <w:sz w:val="24"/>
        </w:rPr>
        <w:t> </w:t>
      </w:r>
      <w:r>
        <w:rPr>
          <w:sz w:val="24"/>
        </w:rPr>
        <w:t>entre</w:t>
      </w:r>
      <w:r>
        <w:rPr>
          <w:spacing w:val="-15"/>
          <w:sz w:val="24"/>
        </w:rPr>
        <w:t> </w:t>
      </w:r>
      <w:r>
        <w:rPr>
          <w:sz w:val="24"/>
        </w:rPr>
        <w:t>les</w:t>
      </w:r>
      <w:r>
        <w:rPr>
          <w:spacing w:val="-15"/>
          <w:sz w:val="24"/>
        </w:rPr>
        <w:t> </w:t>
      </w:r>
      <w:r>
        <w:rPr>
          <w:sz w:val="24"/>
        </w:rPr>
        <w:t>marques et entre les produits ou services désignés. L’existence d’un risque de confusion doit être appréciée globalement en tenant compte de tous les facteurs pertinents du cas d’espèce (22/06/1999,-342/97, Lloyd Schuhfabrik, EU:C:1999:323, § 18; 11/11/1997,-251/95, Sabèl, EU:C:1997:528, § 22).</w:t>
      </w:r>
    </w:p>
    <w:p>
      <w:pPr>
        <w:pStyle w:val="ListParagraph"/>
        <w:numPr>
          <w:ilvl w:val="0"/>
          <w:numId w:val="1"/>
        </w:numPr>
        <w:tabs>
          <w:tab w:pos="448" w:val="left" w:leader="none"/>
        </w:tabs>
        <w:spacing w:line="240" w:lineRule="auto" w:before="241" w:after="0"/>
        <w:ind w:left="448" w:right="19" w:hanging="425"/>
        <w:jc w:val="both"/>
        <w:rPr>
          <w:sz w:val="24"/>
        </w:rPr>
      </w:pPr>
      <w:r>
        <w:rPr>
          <w:sz w:val="24"/>
        </w:rPr>
        <w:t>Cette appréciation globale du risque de confusion implique une certaine interdépendance entre les facteurs pris en compte, et notamment la similitude des marques et celle des produits ou services. Ainsi, un degré élevé de similitude entre les produits ou services désignés peut être compensé par un faible degré de similitude entre les marques, et inversement (22/06/1999,-342/97, Lloyd Schuhfabrik, EU:C:1999:323, § 20; 11/11/1997,-251/95,</w:t>
      </w:r>
      <w:r>
        <w:rPr>
          <w:spacing w:val="40"/>
          <w:sz w:val="24"/>
        </w:rPr>
        <w:t>  </w:t>
      </w:r>
      <w:r>
        <w:rPr>
          <w:sz w:val="24"/>
        </w:rPr>
        <w:t>Sabèl,</w:t>
      </w:r>
      <w:r>
        <w:rPr>
          <w:spacing w:val="40"/>
          <w:sz w:val="24"/>
        </w:rPr>
        <w:t>  </w:t>
      </w:r>
      <w:r>
        <w:rPr>
          <w:sz w:val="24"/>
        </w:rPr>
        <w:t>EU:C:1997:528,</w:t>
      </w:r>
      <w:r>
        <w:rPr>
          <w:spacing w:val="40"/>
          <w:sz w:val="24"/>
        </w:rPr>
        <w:t>  </w:t>
      </w:r>
      <w:r>
        <w:rPr>
          <w:sz w:val="24"/>
        </w:rPr>
        <w:t>§</w:t>
      </w:r>
      <w:r>
        <w:rPr>
          <w:spacing w:val="40"/>
          <w:sz w:val="24"/>
        </w:rPr>
        <w:t>  </w:t>
      </w:r>
      <w:r>
        <w:rPr>
          <w:sz w:val="24"/>
        </w:rPr>
        <w:t>24;</w:t>
      </w:r>
      <w:r>
        <w:rPr>
          <w:spacing w:val="40"/>
          <w:sz w:val="24"/>
        </w:rPr>
        <w:t>  </w:t>
      </w:r>
      <w:r>
        <w:rPr>
          <w:sz w:val="24"/>
        </w:rPr>
        <w:t>29/09/1998,</w:t>
      </w:r>
      <w:r>
        <w:rPr>
          <w:spacing w:val="40"/>
          <w:sz w:val="24"/>
        </w:rPr>
        <w:t>  </w:t>
      </w:r>
      <w:r>
        <w:rPr>
          <w:sz w:val="24"/>
        </w:rPr>
        <w:t>39/97-,</w:t>
      </w:r>
      <w:r>
        <w:rPr>
          <w:spacing w:val="40"/>
          <w:sz w:val="24"/>
        </w:rPr>
        <w:t>  </w:t>
      </w:r>
      <w:r>
        <w:rPr>
          <w:sz w:val="24"/>
        </w:rPr>
        <w:t>Canon,</w:t>
      </w:r>
    </w:p>
    <w:p>
      <w:pPr>
        <w:pStyle w:val="BodyText"/>
        <w:ind w:left="448" w:right="23"/>
        <w:jc w:val="both"/>
      </w:pPr>
      <w:r>
        <w:rPr/>
        <w:t>EU:C:1998:442, § 17). Le risque de confusion est d’autant plus élevé que le caractère distinctif</w:t>
      </w:r>
      <w:r>
        <w:rPr>
          <w:spacing w:val="13"/>
        </w:rPr>
        <w:t> </w:t>
      </w:r>
      <w:r>
        <w:rPr/>
        <w:t>de</w:t>
      </w:r>
      <w:r>
        <w:rPr>
          <w:spacing w:val="15"/>
        </w:rPr>
        <w:t> </w:t>
      </w:r>
      <w:r>
        <w:rPr/>
        <w:t>la</w:t>
      </w:r>
      <w:r>
        <w:rPr>
          <w:spacing w:val="16"/>
        </w:rPr>
        <w:t> </w:t>
      </w:r>
      <w:r>
        <w:rPr/>
        <w:t>marque</w:t>
      </w:r>
      <w:r>
        <w:rPr>
          <w:spacing w:val="17"/>
        </w:rPr>
        <w:t> </w:t>
      </w:r>
      <w:r>
        <w:rPr/>
        <w:t>antérieure</w:t>
      </w:r>
      <w:r>
        <w:rPr>
          <w:spacing w:val="16"/>
        </w:rPr>
        <w:t> </w:t>
      </w:r>
      <w:r>
        <w:rPr/>
        <w:t>s’avère</w:t>
      </w:r>
      <w:r>
        <w:rPr>
          <w:spacing w:val="17"/>
        </w:rPr>
        <w:t> </w:t>
      </w:r>
      <w:r>
        <w:rPr/>
        <w:t>important,</w:t>
      </w:r>
      <w:r>
        <w:rPr>
          <w:spacing w:val="17"/>
        </w:rPr>
        <w:t> </w:t>
      </w:r>
      <w:r>
        <w:rPr/>
        <w:t>et</w:t>
      </w:r>
      <w:r>
        <w:rPr>
          <w:spacing w:val="17"/>
        </w:rPr>
        <w:t> </w:t>
      </w:r>
      <w:r>
        <w:rPr/>
        <w:t>les</w:t>
      </w:r>
      <w:r>
        <w:rPr>
          <w:spacing w:val="15"/>
        </w:rPr>
        <w:t> </w:t>
      </w:r>
      <w:r>
        <w:rPr/>
        <w:t>marques</w:t>
      </w:r>
      <w:r>
        <w:rPr>
          <w:spacing w:val="18"/>
        </w:rPr>
        <w:t> </w:t>
      </w:r>
      <w:r>
        <w:rPr/>
        <w:t>qui</w:t>
      </w:r>
      <w:r>
        <w:rPr>
          <w:spacing w:val="17"/>
        </w:rPr>
        <w:t> </w:t>
      </w:r>
      <w:r>
        <w:rPr/>
        <w:t>ont</w:t>
      </w:r>
      <w:r>
        <w:rPr>
          <w:spacing w:val="17"/>
        </w:rPr>
        <w:t> </w:t>
      </w:r>
      <w:r>
        <w:rPr/>
        <w:t>un</w:t>
      </w:r>
      <w:r>
        <w:rPr>
          <w:spacing w:val="16"/>
        </w:rPr>
        <w:t> </w:t>
      </w:r>
      <w:r>
        <w:rPr>
          <w:spacing w:val="-2"/>
        </w:rPr>
        <w:t>caractère</w:t>
      </w:r>
    </w:p>
    <w:p>
      <w:pPr>
        <w:pStyle w:val="BodyText"/>
        <w:rPr>
          <w:sz w:val="18"/>
        </w:rPr>
      </w:pPr>
    </w:p>
    <w:p>
      <w:pPr>
        <w:pStyle w:val="BodyText"/>
        <w:spacing w:before="141"/>
        <w:rPr>
          <w:sz w:val="18"/>
        </w:rPr>
      </w:pPr>
    </w:p>
    <w:p>
      <w:pPr>
        <w:spacing w:before="1"/>
        <w:ind w:left="0" w:right="1" w:firstLine="0"/>
        <w:jc w:val="center"/>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p>
      <w:pPr>
        <w:spacing w:after="0"/>
        <w:jc w:val="center"/>
        <w:rPr>
          <w:sz w:val="18"/>
        </w:rPr>
        <w:sectPr>
          <w:headerReference w:type="default" r:id="rId29"/>
          <w:pgSz w:w="11910" w:h="16840"/>
          <w:pgMar w:header="970" w:footer="0" w:top="1340" w:bottom="280" w:left="1417" w:right="1417"/>
          <w:pgNumType w:start="31"/>
        </w:sectPr>
      </w:pPr>
    </w:p>
    <w:p>
      <w:pPr>
        <w:pStyle w:val="BodyText"/>
        <w:spacing w:before="80"/>
        <w:ind w:left="448" w:right="21"/>
        <w:jc w:val="both"/>
      </w:pPr>
      <w:r>
        <w:rPr/>
        <mc:AlternateContent>
          <mc:Choice Requires="wps">
            <w:drawing>
              <wp:anchor distT="0" distB="0" distL="0" distR="0" allowOverlap="1" layoutInCell="1" locked="0" behindDoc="0" simplePos="0" relativeHeight="15757824">
                <wp:simplePos x="0" y="0"/>
                <wp:positionH relativeFrom="page">
                  <wp:posOffset>270575</wp:posOffset>
                </wp:positionH>
                <wp:positionV relativeFrom="page">
                  <wp:posOffset>1114363</wp:posOffset>
                </wp:positionV>
                <wp:extent cx="146050" cy="921004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146050" cy="9210040"/>
                        </a:xfrm>
                        <a:prstGeom prst="rect">
                          <a:avLst/>
                        </a:prstGeom>
                      </wps:spPr>
                      <wps:txbx>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wps:txbx>
                      <wps:bodyPr wrap="square" lIns="0" tIns="0" rIns="0" bIns="0" rtlCol="0" vert="vert270">
                        <a:noAutofit/>
                      </wps:bodyPr>
                    </wps:wsp>
                  </a:graphicData>
                </a:graphic>
              </wp:anchor>
            </w:drawing>
          </mc:Choice>
          <mc:Fallback>
            <w:pict>
              <v:shape style="position:absolute;margin-left:21.305176pt;margin-top:87.745193pt;width:11.5pt;height:725.2pt;mso-position-horizontal-relative:page;mso-position-vertical-relative:page;z-index:15757824" type="#_x0000_t202" id="docshape46" filled="false" stroked="false">
                <v:textbox inset="0,0,0,0" style="layout-flow:vertical;mso-layout-flow-alt:bottom-to-top">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v:textbox>
                <w10:wrap type="none"/>
              </v:shape>
            </w:pict>
          </mc:Fallback>
        </mc:AlternateContent>
      </w:r>
      <w:r>
        <w:rPr/>
        <w:t>distinctif élevé, soit intrinsèquement, soit en raison de la connaissance de celles-ci sur le marché, jouissent d’une protection plus étendue que celles dont le caractère distinctif est moindre (-29/09/1998, 39/97, Canon, EU:C:1998:442, § 18).</w:t>
      </w:r>
    </w:p>
    <w:p>
      <w:pPr>
        <w:pStyle w:val="ListParagraph"/>
        <w:numPr>
          <w:ilvl w:val="0"/>
          <w:numId w:val="1"/>
        </w:numPr>
        <w:tabs>
          <w:tab w:pos="448" w:val="left" w:leader="none"/>
        </w:tabs>
        <w:spacing w:line="240" w:lineRule="auto" w:before="240" w:after="0"/>
        <w:ind w:left="448" w:right="17" w:hanging="425"/>
        <w:jc w:val="both"/>
        <w:rPr>
          <w:sz w:val="24"/>
        </w:rPr>
      </w:pPr>
      <w:r>
        <w:rPr>
          <w:sz w:val="24"/>
        </w:rPr>
        <w:t>En outre, il convient de tenir compte du fait que le consommateur n’a que rarement la possibilité</w:t>
      </w:r>
      <w:r>
        <w:rPr>
          <w:spacing w:val="-11"/>
          <w:sz w:val="24"/>
        </w:rPr>
        <w:t> </w:t>
      </w:r>
      <w:r>
        <w:rPr>
          <w:sz w:val="24"/>
        </w:rPr>
        <w:t>de</w:t>
      </w:r>
      <w:r>
        <w:rPr>
          <w:spacing w:val="-11"/>
          <w:sz w:val="24"/>
        </w:rPr>
        <w:t> </w:t>
      </w:r>
      <w:r>
        <w:rPr>
          <w:sz w:val="24"/>
        </w:rPr>
        <w:t>procéder</w:t>
      </w:r>
      <w:r>
        <w:rPr>
          <w:spacing w:val="-8"/>
          <w:sz w:val="24"/>
        </w:rPr>
        <w:t> </w:t>
      </w:r>
      <w:r>
        <w:rPr>
          <w:sz w:val="24"/>
        </w:rPr>
        <w:t>à</w:t>
      </w:r>
      <w:r>
        <w:rPr>
          <w:spacing w:val="-8"/>
          <w:sz w:val="24"/>
        </w:rPr>
        <w:t> </w:t>
      </w:r>
      <w:r>
        <w:rPr>
          <w:sz w:val="24"/>
        </w:rPr>
        <w:t>une</w:t>
      </w:r>
      <w:r>
        <w:rPr>
          <w:spacing w:val="-11"/>
          <w:sz w:val="24"/>
        </w:rPr>
        <w:t> </w:t>
      </w:r>
      <w:r>
        <w:rPr>
          <w:sz w:val="24"/>
        </w:rPr>
        <w:t>comparaison</w:t>
      </w:r>
      <w:r>
        <w:rPr>
          <w:spacing w:val="-9"/>
          <w:sz w:val="24"/>
        </w:rPr>
        <w:t> </w:t>
      </w:r>
      <w:r>
        <w:rPr>
          <w:sz w:val="24"/>
        </w:rPr>
        <w:t>directe</w:t>
      </w:r>
      <w:r>
        <w:rPr>
          <w:spacing w:val="-6"/>
          <w:sz w:val="24"/>
        </w:rPr>
        <w:t> </w:t>
      </w:r>
      <w:r>
        <w:rPr>
          <w:sz w:val="24"/>
        </w:rPr>
        <w:t>des</w:t>
      </w:r>
      <w:r>
        <w:rPr>
          <w:spacing w:val="-9"/>
          <w:sz w:val="24"/>
        </w:rPr>
        <w:t> </w:t>
      </w:r>
      <w:r>
        <w:rPr>
          <w:sz w:val="24"/>
        </w:rPr>
        <w:t>différentes</w:t>
      </w:r>
      <w:r>
        <w:rPr>
          <w:spacing w:val="-8"/>
          <w:sz w:val="24"/>
        </w:rPr>
        <w:t> </w:t>
      </w:r>
      <w:r>
        <w:rPr>
          <w:sz w:val="24"/>
        </w:rPr>
        <w:t>marques</w:t>
      </w:r>
      <w:r>
        <w:rPr>
          <w:spacing w:val="-7"/>
          <w:sz w:val="24"/>
        </w:rPr>
        <w:t> </w:t>
      </w:r>
      <w:r>
        <w:rPr>
          <w:sz w:val="24"/>
        </w:rPr>
        <w:t>mais</w:t>
      </w:r>
      <w:r>
        <w:rPr>
          <w:spacing w:val="-9"/>
          <w:sz w:val="24"/>
        </w:rPr>
        <w:t> </w:t>
      </w:r>
      <w:r>
        <w:rPr>
          <w:sz w:val="24"/>
        </w:rPr>
        <w:t>doit</w:t>
      </w:r>
      <w:r>
        <w:rPr>
          <w:spacing w:val="-9"/>
          <w:sz w:val="24"/>
        </w:rPr>
        <w:t> </w:t>
      </w:r>
      <w:r>
        <w:rPr>
          <w:sz w:val="24"/>
        </w:rPr>
        <w:t>se</w:t>
      </w:r>
      <w:r>
        <w:rPr>
          <w:spacing w:val="-10"/>
          <w:sz w:val="24"/>
        </w:rPr>
        <w:t> </w:t>
      </w:r>
      <w:r>
        <w:rPr>
          <w:sz w:val="24"/>
        </w:rPr>
        <w:t>fier à l’image imparfaite qu’il en a gardée en mémoire (11/11/1997,-251/95, Sabèl, EU:C:1997:528,</w:t>
      </w:r>
      <w:r>
        <w:rPr>
          <w:spacing w:val="62"/>
          <w:sz w:val="24"/>
        </w:rPr>
        <w:t> </w:t>
      </w:r>
      <w:r>
        <w:rPr>
          <w:sz w:val="24"/>
        </w:rPr>
        <w:t>§</w:t>
      </w:r>
      <w:r>
        <w:rPr>
          <w:spacing w:val="62"/>
          <w:sz w:val="24"/>
        </w:rPr>
        <w:t> </w:t>
      </w:r>
      <w:r>
        <w:rPr>
          <w:sz w:val="24"/>
        </w:rPr>
        <w:t>23;</w:t>
      </w:r>
      <w:r>
        <w:rPr>
          <w:spacing w:val="61"/>
          <w:sz w:val="24"/>
        </w:rPr>
        <w:t> </w:t>
      </w:r>
      <w:r>
        <w:rPr>
          <w:sz w:val="24"/>
        </w:rPr>
        <w:t>03/03/2004,</w:t>
      </w:r>
      <w:r>
        <w:rPr>
          <w:spacing w:val="62"/>
          <w:sz w:val="24"/>
        </w:rPr>
        <w:t> </w:t>
      </w:r>
      <w:r>
        <w:rPr>
          <w:sz w:val="24"/>
        </w:rPr>
        <w:t>355/02-,</w:t>
      </w:r>
      <w:r>
        <w:rPr>
          <w:spacing w:val="62"/>
          <w:sz w:val="24"/>
        </w:rPr>
        <w:t> </w:t>
      </w:r>
      <w:r>
        <w:rPr>
          <w:sz w:val="24"/>
        </w:rPr>
        <w:t>Zirh,</w:t>
      </w:r>
      <w:r>
        <w:rPr>
          <w:spacing w:val="62"/>
          <w:sz w:val="24"/>
        </w:rPr>
        <w:t> </w:t>
      </w:r>
      <w:r>
        <w:rPr>
          <w:sz w:val="24"/>
        </w:rPr>
        <w:t>EU:T:2004:62,</w:t>
      </w:r>
      <w:r>
        <w:rPr>
          <w:spacing w:val="63"/>
          <w:sz w:val="24"/>
        </w:rPr>
        <w:t> </w:t>
      </w:r>
      <w:r>
        <w:rPr>
          <w:sz w:val="24"/>
        </w:rPr>
        <w:t>§</w:t>
      </w:r>
      <w:r>
        <w:rPr>
          <w:spacing w:val="62"/>
          <w:sz w:val="24"/>
        </w:rPr>
        <w:t> </w:t>
      </w:r>
      <w:r>
        <w:rPr>
          <w:sz w:val="24"/>
        </w:rPr>
        <w:t>41;</w:t>
      </w:r>
      <w:r>
        <w:rPr>
          <w:spacing w:val="63"/>
          <w:sz w:val="24"/>
        </w:rPr>
        <w:t> </w:t>
      </w:r>
      <w:r>
        <w:rPr>
          <w:sz w:val="24"/>
        </w:rPr>
        <w:t>18/04/2007,</w:t>
      </w:r>
    </w:p>
    <w:p>
      <w:pPr>
        <w:pStyle w:val="BodyText"/>
        <w:ind w:left="448"/>
        <w:jc w:val="both"/>
      </w:pPr>
      <w:r>
        <w:rPr/>
        <w:t>T-333/04</w:t>
      </w:r>
      <w:r>
        <w:rPr>
          <w:spacing w:val="-1"/>
        </w:rPr>
        <w:t> </w:t>
      </w:r>
      <w:r>
        <w:rPr/>
        <w:t>indirects T-334/04,</w:t>
      </w:r>
      <w:r>
        <w:rPr>
          <w:spacing w:val="-1"/>
        </w:rPr>
        <w:t> </w:t>
      </w:r>
      <w:r>
        <w:rPr/>
        <w:t>House</w:t>
      </w:r>
      <w:r>
        <w:rPr>
          <w:spacing w:val="-2"/>
        </w:rPr>
        <w:t> </w:t>
      </w:r>
      <w:r>
        <w:rPr/>
        <w:t>of</w:t>
      </w:r>
      <w:r>
        <w:rPr>
          <w:spacing w:val="-1"/>
        </w:rPr>
        <w:t> </w:t>
      </w:r>
      <w:r>
        <w:rPr/>
        <w:t>Donuts/DONUTS et</w:t>
      </w:r>
      <w:r>
        <w:rPr>
          <w:spacing w:val="-1"/>
        </w:rPr>
        <w:t> </w:t>
      </w:r>
      <w:r>
        <w:rPr/>
        <w:t>al., EU:T:2007:105,</w:t>
      </w:r>
      <w:r>
        <w:rPr>
          <w:spacing w:val="-1"/>
        </w:rPr>
        <w:t> </w:t>
      </w:r>
      <w:r>
        <w:rPr/>
        <w:t>§ </w:t>
      </w:r>
      <w:r>
        <w:rPr>
          <w:spacing w:val="-4"/>
        </w:rPr>
        <w:t>44).</w:t>
      </w:r>
    </w:p>
    <w:p>
      <w:pPr>
        <w:pStyle w:val="ListParagraph"/>
        <w:numPr>
          <w:ilvl w:val="0"/>
          <w:numId w:val="1"/>
        </w:numPr>
        <w:tabs>
          <w:tab w:pos="448" w:val="left" w:leader="none"/>
        </w:tabs>
        <w:spacing w:line="240" w:lineRule="auto" w:before="240" w:after="0"/>
        <w:ind w:left="448" w:right="19" w:hanging="425"/>
        <w:jc w:val="both"/>
        <w:rPr>
          <w:sz w:val="24"/>
        </w:rPr>
      </w:pPr>
      <w:r>
        <w:rPr>
          <w:sz w:val="24"/>
        </w:rPr>
        <w:t>Les produits en cause compris dans la classe 3 (produits de parfumerie en comparaison avec</w:t>
      </w:r>
      <w:r>
        <w:rPr>
          <w:spacing w:val="-12"/>
          <w:sz w:val="24"/>
        </w:rPr>
        <w:t> </w:t>
      </w:r>
      <w:r>
        <w:rPr>
          <w:sz w:val="24"/>
        </w:rPr>
        <w:t>différents</w:t>
      </w:r>
      <w:r>
        <w:rPr>
          <w:spacing w:val="-10"/>
          <w:sz w:val="24"/>
        </w:rPr>
        <w:t> </w:t>
      </w:r>
      <w:r>
        <w:rPr>
          <w:sz w:val="24"/>
        </w:rPr>
        <w:t>produits</w:t>
      </w:r>
      <w:r>
        <w:rPr>
          <w:spacing w:val="-10"/>
          <w:sz w:val="24"/>
        </w:rPr>
        <w:t> </w:t>
      </w:r>
      <w:r>
        <w:rPr>
          <w:sz w:val="24"/>
        </w:rPr>
        <w:t>cosmétiques)</w:t>
      </w:r>
      <w:r>
        <w:rPr>
          <w:spacing w:val="-9"/>
          <w:sz w:val="24"/>
        </w:rPr>
        <w:t> </w:t>
      </w:r>
      <w:r>
        <w:rPr>
          <w:sz w:val="24"/>
        </w:rPr>
        <w:t>présentent</w:t>
      </w:r>
      <w:r>
        <w:rPr>
          <w:spacing w:val="-10"/>
          <w:sz w:val="24"/>
        </w:rPr>
        <w:t> </w:t>
      </w:r>
      <w:r>
        <w:rPr>
          <w:sz w:val="24"/>
        </w:rPr>
        <w:t>un</w:t>
      </w:r>
      <w:r>
        <w:rPr>
          <w:spacing w:val="-11"/>
          <w:sz w:val="24"/>
        </w:rPr>
        <w:t> </w:t>
      </w:r>
      <w:r>
        <w:rPr>
          <w:sz w:val="24"/>
        </w:rPr>
        <w:t>degré</w:t>
      </w:r>
      <w:r>
        <w:rPr>
          <w:spacing w:val="-12"/>
          <w:sz w:val="24"/>
        </w:rPr>
        <w:t> </w:t>
      </w:r>
      <w:r>
        <w:rPr>
          <w:sz w:val="24"/>
        </w:rPr>
        <w:t>moyen</w:t>
      </w:r>
      <w:r>
        <w:rPr>
          <w:spacing w:val="-11"/>
          <w:sz w:val="24"/>
        </w:rPr>
        <w:t> </w:t>
      </w:r>
      <w:r>
        <w:rPr>
          <w:sz w:val="24"/>
        </w:rPr>
        <w:t>de</w:t>
      </w:r>
      <w:r>
        <w:rPr>
          <w:spacing w:val="-12"/>
          <w:sz w:val="24"/>
        </w:rPr>
        <w:t> </w:t>
      </w:r>
      <w:r>
        <w:rPr>
          <w:sz w:val="24"/>
        </w:rPr>
        <w:t>similitude.</w:t>
      </w:r>
      <w:r>
        <w:rPr>
          <w:spacing w:val="-8"/>
          <w:sz w:val="24"/>
        </w:rPr>
        <w:t> </w:t>
      </w:r>
      <w:r>
        <w:rPr>
          <w:sz w:val="24"/>
        </w:rPr>
        <w:t>Les</w:t>
      </w:r>
      <w:r>
        <w:rPr>
          <w:spacing w:val="-10"/>
          <w:sz w:val="24"/>
        </w:rPr>
        <w:t> </w:t>
      </w:r>
      <w:r>
        <w:rPr>
          <w:sz w:val="24"/>
        </w:rPr>
        <w:t>signes en conflit sont très similaires sur le plan visuel, moyennement similaires sur le plan phonétique et identiques sur le plan conceptuel. La marque antérieure «no 5»</w:t>
      </w:r>
      <w:r>
        <w:rPr>
          <w:spacing w:val="-1"/>
          <w:sz w:val="24"/>
        </w:rPr>
        <w:t> </w:t>
      </w:r>
      <w:r>
        <w:rPr>
          <w:sz w:val="24"/>
        </w:rPr>
        <w:t>possède un caractère distinctif moyen pour les </w:t>
      </w:r>
      <w:r>
        <w:rPr>
          <w:i/>
          <w:sz w:val="24"/>
        </w:rPr>
        <w:t>produits de parfumerie </w:t>
      </w:r>
      <w:r>
        <w:rPr>
          <w:sz w:val="24"/>
        </w:rPr>
        <w:t>compris dans la classe 3 en raison d’un usage intensif et d’une reconnaissance sur le marché français.</w:t>
      </w:r>
    </w:p>
    <w:p>
      <w:pPr>
        <w:pStyle w:val="ListParagraph"/>
        <w:numPr>
          <w:ilvl w:val="0"/>
          <w:numId w:val="1"/>
        </w:numPr>
        <w:tabs>
          <w:tab w:pos="448" w:val="left" w:leader="none"/>
        </w:tabs>
        <w:spacing w:line="240" w:lineRule="auto" w:before="241" w:after="0"/>
        <w:ind w:left="448" w:right="19" w:hanging="425"/>
        <w:jc w:val="both"/>
        <w:rPr>
          <w:sz w:val="24"/>
        </w:rPr>
      </w:pPr>
      <w:r>
        <w:rPr>
          <w:sz w:val="24"/>
        </w:rPr>
        <w:t>Dans l’ensemble, compte tenu de la similitude entre les produits, des fortes similitudes visuelles</w:t>
      </w:r>
      <w:r>
        <w:rPr>
          <w:spacing w:val="-9"/>
          <w:sz w:val="24"/>
        </w:rPr>
        <w:t> </w:t>
      </w:r>
      <w:r>
        <w:rPr>
          <w:sz w:val="24"/>
        </w:rPr>
        <w:t>et</w:t>
      </w:r>
      <w:r>
        <w:rPr>
          <w:spacing w:val="-9"/>
          <w:sz w:val="24"/>
        </w:rPr>
        <w:t> </w:t>
      </w:r>
      <w:r>
        <w:rPr>
          <w:sz w:val="24"/>
        </w:rPr>
        <w:t>phonétiques</w:t>
      </w:r>
      <w:r>
        <w:rPr>
          <w:spacing w:val="-9"/>
          <w:sz w:val="24"/>
        </w:rPr>
        <w:t> </w:t>
      </w:r>
      <w:r>
        <w:rPr>
          <w:sz w:val="24"/>
        </w:rPr>
        <w:t>et</w:t>
      </w:r>
      <w:r>
        <w:rPr>
          <w:spacing w:val="-9"/>
          <w:sz w:val="24"/>
        </w:rPr>
        <w:t> </w:t>
      </w:r>
      <w:r>
        <w:rPr>
          <w:sz w:val="24"/>
        </w:rPr>
        <w:t>de</w:t>
      </w:r>
      <w:r>
        <w:rPr>
          <w:spacing w:val="-11"/>
          <w:sz w:val="24"/>
        </w:rPr>
        <w:t> </w:t>
      </w:r>
      <w:r>
        <w:rPr>
          <w:sz w:val="24"/>
        </w:rPr>
        <w:t>l’identité</w:t>
      </w:r>
      <w:r>
        <w:rPr>
          <w:spacing w:val="-10"/>
          <w:sz w:val="24"/>
        </w:rPr>
        <w:t> </w:t>
      </w:r>
      <w:r>
        <w:rPr>
          <w:sz w:val="24"/>
        </w:rPr>
        <w:t>conceptuelle</w:t>
      </w:r>
      <w:r>
        <w:rPr>
          <w:spacing w:val="-11"/>
          <w:sz w:val="24"/>
        </w:rPr>
        <w:t> </w:t>
      </w:r>
      <w:r>
        <w:rPr>
          <w:sz w:val="24"/>
        </w:rPr>
        <w:t>entre</w:t>
      </w:r>
      <w:r>
        <w:rPr>
          <w:spacing w:val="-9"/>
          <w:sz w:val="24"/>
        </w:rPr>
        <w:t> </w:t>
      </w:r>
      <w:r>
        <w:rPr>
          <w:sz w:val="24"/>
        </w:rPr>
        <w:t>les</w:t>
      </w:r>
      <w:r>
        <w:rPr>
          <w:spacing w:val="-10"/>
          <w:sz w:val="24"/>
        </w:rPr>
        <w:t> </w:t>
      </w:r>
      <w:r>
        <w:rPr>
          <w:sz w:val="24"/>
        </w:rPr>
        <w:t>signes</w:t>
      </w:r>
      <w:r>
        <w:rPr>
          <w:spacing w:val="-9"/>
          <w:sz w:val="24"/>
        </w:rPr>
        <w:t> </w:t>
      </w:r>
      <w:r>
        <w:rPr>
          <w:sz w:val="24"/>
        </w:rPr>
        <w:t>en</w:t>
      </w:r>
      <w:r>
        <w:rPr>
          <w:spacing w:val="-8"/>
          <w:sz w:val="24"/>
        </w:rPr>
        <w:t> </w:t>
      </w:r>
      <w:r>
        <w:rPr>
          <w:sz w:val="24"/>
        </w:rPr>
        <w:t>cause,</w:t>
      </w:r>
      <w:r>
        <w:rPr>
          <w:spacing w:val="-10"/>
          <w:sz w:val="24"/>
        </w:rPr>
        <w:t> </w:t>
      </w:r>
      <w:r>
        <w:rPr>
          <w:sz w:val="24"/>
        </w:rPr>
        <w:t>ainsi</w:t>
      </w:r>
      <w:r>
        <w:rPr>
          <w:spacing w:val="-9"/>
          <w:sz w:val="24"/>
        </w:rPr>
        <w:t> </w:t>
      </w:r>
      <w:r>
        <w:rPr>
          <w:sz w:val="24"/>
        </w:rPr>
        <w:t>que</w:t>
      </w:r>
      <w:r>
        <w:rPr>
          <w:spacing w:val="-11"/>
          <w:sz w:val="24"/>
        </w:rPr>
        <w:t> </w:t>
      </w:r>
      <w:r>
        <w:rPr>
          <w:sz w:val="24"/>
        </w:rPr>
        <w:t>du degré</w:t>
      </w:r>
      <w:r>
        <w:rPr>
          <w:spacing w:val="-9"/>
          <w:sz w:val="24"/>
        </w:rPr>
        <w:t> </w:t>
      </w:r>
      <w:r>
        <w:rPr>
          <w:sz w:val="24"/>
        </w:rPr>
        <w:t>moyen</w:t>
      </w:r>
      <w:r>
        <w:rPr>
          <w:spacing w:val="-7"/>
          <w:sz w:val="24"/>
        </w:rPr>
        <w:t> </w:t>
      </w:r>
      <w:r>
        <w:rPr>
          <w:sz w:val="24"/>
        </w:rPr>
        <w:t>de</w:t>
      </w:r>
      <w:r>
        <w:rPr>
          <w:spacing w:val="-6"/>
          <w:sz w:val="24"/>
        </w:rPr>
        <w:t> </w:t>
      </w:r>
      <w:r>
        <w:rPr>
          <w:sz w:val="24"/>
        </w:rPr>
        <w:t>caractère</w:t>
      </w:r>
      <w:r>
        <w:rPr>
          <w:spacing w:val="-7"/>
          <w:sz w:val="24"/>
        </w:rPr>
        <w:t> </w:t>
      </w:r>
      <w:r>
        <w:rPr>
          <w:sz w:val="24"/>
        </w:rPr>
        <w:t>distinctif</w:t>
      </w:r>
      <w:r>
        <w:rPr>
          <w:spacing w:val="-8"/>
          <w:sz w:val="24"/>
        </w:rPr>
        <w:t> </w:t>
      </w:r>
      <w:r>
        <w:rPr>
          <w:sz w:val="24"/>
        </w:rPr>
        <w:t>pour</w:t>
      </w:r>
      <w:r>
        <w:rPr>
          <w:spacing w:val="-8"/>
          <w:sz w:val="24"/>
        </w:rPr>
        <w:t> </w:t>
      </w:r>
      <w:r>
        <w:rPr>
          <w:sz w:val="24"/>
        </w:rPr>
        <w:t>les</w:t>
      </w:r>
      <w:r>
        <w:rPr>
          <w:spacing w:val="-8"/>
          <w:sz w:val="24"/>
        </w:rPr>
        <w:t> </w:t>
      </w:r>
      <w:r>
        <w:rPr>
          <w:sz w:val="24"/>
        </w:rPr>
        <w:t>produits</w:t>
      </w:r>
      <w:r>
        <w:rPr>
          <w:spacing w:val="-7"/>
          <w:sz w:val="24"/>
        </w:rPr>
        <w:t> </w:t>
      </w:r>
      <w:r>
        <w:rPr>
          <w:sz w:val="24"/>
        </w:rPr>
        <w:t>de</w:t>
      </w:r>
      <w:r>
        <w:rPr>
          <w:spacing w:val="-6"/>
          <w:sz w:val="24"/>
        </w:rPr>
        <w:t> </w:t>
      </w:r>
      <w:r>
        <w:rPr>
          <w:i/>
          <w:sz w:val="24"/>
        </w:rPr>
        <w:t>parfumerie</w:t>
      </w:r>
      <w:r>
        <w:rPr>
          <w:i/>
          <w:spacing w:val="-5"/>
          <w:sz w:val="24"/>
        </w:rPr>
        <w:t> </w:t>
      </w:r>
      <w:r>
        <w:rPr>
          <w:sz w:val="24"/>
        </w:rPr>
        <w:t>compris</w:t>
      </w:r>
      <w:r>
        <w:rPr>
          <w:spacing w:val="-4"/>
          <w:sz w:val="24"/>
        </w:rPr>
        <w:t> </w:t>
      </w:r>
      <w:r>
        <w:rPr>
          <w:sz w:val="24"/>
        </w:rPr>
        <w:t>dans</w:t>
      </w:r>
      <w:r>
        <w:rPr>
          <w:spacing w:val="-7"/>
          <w:sz w:val="24"/>
        </w:rPr>
        <w:t> </w:t>
      </w:r>
      <w:r>
        <w:rPr>
          <w:sz w:val="24"/>
        </w:rPr>
        <w:t>la</w:t>
      </w:r>
      <w:r>
        <w:rPr>
          <w:spacing w:val="-8"/>
          <w:sz w:val="24"/>
        </w:rPr>
        <w:t> </w:t>
      </w:r>
      <w:r>
        <w:rPr>
          <w:sz w:val="24"/>
        </w:rPr>
        <w:t>classe 3</w:t>
      </w:r>
      <w:r>
        <w:rPr>
          <w:spacing w:val="-13"/>
          <w:sz w:val="24"/>
        </w:rPr>
        <w:t> </w:t>
      </w:r>
      <w:r>
        <w:rPr>
          <w:sz w:val="24"/>
        </w:rPr>
        <w:t>en</w:t>
      </w:r>
      <w:r>
        <w:rPr>
          <w:spacing w:val="-13"/>
          <w:sz w:val="24"/>
        </w:rPr>
        <w:t> </w:t>
      </w:r>
      <w:r>
        <w:rPr>
          <w:sz w:val="24"/>
        </w:rPr>
        <w:t>raison</w:t>
      </w:r>
      <w:r>
        <w:rPr>
          <w:spacing w:val="-12"/>
          <w:sz w:val="24"/>
        </w:rPr>
        <w:t> </w:t>
      </w:r>
      <w:r>
        <w:rPr>
          <w:sz w:val="24"/>
        </w:rPr>
        <w:t>d’un</w:t>
      </w:r>
      <w:r>
        <w:rPr>
          <w:spacing w:val="-14"/>
          <w:sz w:val="24"/>
        </w:rPr>
        <w:t> </w:t>
      </w:r>
      <w:r>
        <w:rPr>
          <w:sz w:val="24"/>
        </w:rPr>
        <w:t>usage</w:t>
      </w:r>
      <w:r>
        <w:rPr>
          <w:spacing w:val="-14"/>
          <w:sz w:val="24"/>
        </w:rPr>
        <w:t> </w:t>
      </w:r>
      <w:r>
        <w:rPr>
          <w:sz w:val="24"/>
        </w:rPr>
        <w:t>intensif</w:t>
      </w:r>
      <w:r>
        <w:rPr>
          <w:spacing w:val="-13"/>
          <w:sz w:val="24"/>
        </w:rPr>
        <w:t> </w:t>
      </w:r>
      <w:r>
        <w:rPr>
          <w:sz w:val="24"/>
        </w:rPr>
        <w:t>et</w:t>
      </w:r>
      <w:r>
        <w:rPr>
          <w:spacing w:val="-13"/>
          <w:sz w:val="24"/>
        </w:rPr>
        <w:t> </w:t>
      </w:r>
      <w:r>
        <w:rPr>
          <w:sz w:val="24"/>
        </w:rPr>
        <w:t>d’une</w:t>
      </w:r>
      <w:r>
        <w:rPr>
          <w:spacing w:val="-15"/>
          <w:sz w:val="24"/>
        </w:rPr>
        <w:t> </w:t>
      </w:r>
      <w:r>
        <w:rPr>
          <w:sz w:val="24"/>
        </w:rPr>
        <w:t>reconnaissance</w:t>
      </w:r>
      <w:r>
        <w:rPr>
          <w:spacing w:val="-14"/>
          <w:sz w:val="24"/>
        </w:rPr>
        <w:t> </w:t>
      </w:r>
      <w:r>
        <w:rPr>
          <w:sz w:val="24"/>
        </w:rPr>
        <w:t>sur</w:t>
      </w:r>
      <w:r>
        <w:rPr>
          <w:spacing w:val="-14"/>
          <w:sz w:val="24"/>
        </w:rPr>
        <w:t> </w:t>
      </w:r>
      <w:r>
        <w:rPr>
          <w:sz w:val="24"/>
        </w:rPr>
        <w:t>le</w:t>
      </w:r>
      <w:r>
        <w:rPr>
          <w:spacing w:val="-14"/>
          <w:sz w:val="24"/>
        </w:rPr>
        <w:t> </w:t>
      </w:r>
      <w:r>
        <w:rPr>
          <w:sz w:val="24"/>
        </w:rPr>
        <w:t>marché</w:t>
      </w:r>
      <w:r>
        <w:rPr>
          <w:spacing w:val="-14"/>
          <w:sz w:val="24"/>
        </w:rPr>
        <w:t> </w:t>
      </w:r>
      <w:r>
        <w:rPr>
          <w:sz w:val="24"/>
        </w:rPr>
        <w:t>français</w:t>
      </w:r>
      <w:r>
        <w:rPr>
          <w:spacing w:val="-13"/>
          <w:sz w:val="24"/>
        </w:rPr>
        <w:t> </w:t>
      </w:r>
      <w:r>
        <w:rPr>
          <w:sz w:val="24"/>
        </w:rPr>
        <w:t>de</w:t>
      </w:r>
      <w:r>
        <w:rPr>
          <w:spacing w:val="-14"/>
          <w:sz w:val="24"/>
        </w:rPr>
        <w:t> </w:t>
      </w:r>
      <w:r>
        <w:rPr>
          <w:sz w:val="24"/>
        </w:rPr>
        <w:t>la</w:t>
      </w:r>
      <w:r>
        <w:rPr>
          <w:spacing w:val="-14"/>
          <w:sz w:val="24"/>
        </w:rPr>
        <w:t> </w:t>
      </w:r>
      <w:r>
        <w:rPr>
          <w:sz w:val="24"/>
        </w:rPr>
        <w:t>marque antérieure, l’existence</w:t>
      </w:r>
      <w:r>
        <w:rPr>
          <w:spacing w:val="-1"/>
          <w:sz w:val="24"/>
        </w:rPr>
        <w:t> </w:t>
      </w:r>
      <w:r>
        <w:rPr>
          <w:sz w:val="24"/>
        </w:rPr>
        <w:t>d’un risque</w:t>
      </w:r>
      <w:r>
        <w:rPr>
          <w:spacing w:val="-1"/>
          <w:sz w:val="24"/>
        </w:rPr>
        <w:t> </w:t>
      </w:r>
      <w:r>
        <w:rPr>
          <w:sz w:val="24"/>
        </w:rPr>
        <w:t>de</w:t>
      </w:r>
      <w:r>
        <w:rPr>
          <w:spacing w:val="-1"/>
          <w:sz w:val="24"/>
        </w:rPr>
        <w:t> </w:t>
      </w:r>
      <w:r>
        <w:rPr>
          <w:sz w:val="24"/>
        </w:rPr>
        <w:t>confusion au sens de</w:t>
      </w:r>
      <w:r>
        <w:rPr>
          <w:spacing w:val="-1"/>
          <w:sz w:val="24"/>
        </w:rPr>
        <w:t> </w:t>
      </w:r>
      <w:r>
        <w:rPr>
          <w:sz w:val="24"/>
        </w:rPr>
        <w:t>l’article</w:t>
      </w:r>
      <w:r>
        <w:rPr>
          <w:spacing w:val="-1"/>
          <w:sz w:val="24"/>
        </w:rPr>
        <w:t> </w:t>
      </w:r>
      <w:r>
        <w:rPr>
          <w:sz w:val="24"/>
        </w:rPr>
        <w:t>8, paragraphe</w:t>
      </w:r>
      <w:r>
        <w:rPr>
          <w:spacing w:val="-1"/>
          <w:sz w:val="24"/>
        </w:rPr>
        <w:t> </w:t>
      </w:r>
      <w:r>
        <w:rPr>
          <w:sz w:val="24"/>
        </w:rPr>
        <w:t>1, point b), du RMUE ne saurait être exclue en l’espèce. Il est tout à fait concevable que le signe contesté</w:t>
      </w:r>
      <w:r>
        <w:rPr>
          <w:spacing w:val="-8"/>
          <w:sz w:val="24"/>
        </w:rPr>
        <w:t> </w:t>
      </w:r>
      <w:r>
        <w:rPr>
          <w:sz w:val="24"/>
        </w:rPr>
        <w:t>puisse</w:t>
      </w:r>
      <w:r>
        <w:rPr>
          <w:spacing w:val="-6"/>
          <w:sz w:val="24"/>
        </w:rPr>
        <w:t> </w:t>
      </w:r>
      <w:r>
        <w:rPr>
          <w:sz w:val="24"/>
        </w:rPr>
        <w:t>être</w:t>
      </w:r>
      <w:r>
        <w:rPr>
          <w:spacing w:val="-6"/>
          <w:sz w:val="24"/>
        </w:rPr>
        <w:t> </w:t>
      </w:r>
      <w:r>
        <w:rPr>
          <w:sz w:val="24"/>
        </w:rPr>
        <w:t>perçu</w:t>
      </w:r>
      <w:r>
        <w:rPr>
          <w:spacing w:val="-5"/>
          <w:sz w:val="24"/>
        </w:rPr>
        <w:t> </w:t>
      </w:r>
      <w:r>
        <w:rPr>
          <w:sz w:val="24"/>
        </w:rPr>
        <w:t>par</w:t>
      </w:r>
      <w:r>
        <w:rPr>
          <w:spacing w:val="-8"/>
          <w:sz w:val="24"/>
        </w:rPr>
        <w:t> </w:t>
      </w:r>
      <w:r>
        <w:rPr>
          <w:sz w:val="24"/>
        </w:rPr>
        <w:t>le</w:t>
      </w:r>
      <w:r>
        <w:rPr>
          <w:spacing w:val="-8"/>
          <w:sz w:val="24"/>
        </w:rPr>
        <w:t> </w:t>
      </w:r>
      <w:r>
        <w:rPr>
          <w:sz w:val="24"/>
        </w:rPr>
        <w:t>public</w:t>
      </w:r>
      <w:r>
        <w:rPr>
          <w:spacing w:val="-8"/>
          <w:sz w:val="24"/>
        </w:rPr>
        <w:t> </w:t>
      </w:r>
      <w:r>
        <w:rPr>
          <w:sz w:val="24"/>
        </w:rPr>
        <w:t>pertinent</w:t>
      </w:r>
      <w:r>
        <w:rPr>
          <w:spacing w:val="-7"/>
          <w:sz w:val="24"/>
        </w:rPr>
        <w:t> </w:t>
      </w:r>
      <w:r>
        <w:rPr>
          <w:sz w:val="24"/>
        </w:rPr>
        <w:t>comme</w:t>
      </w:r>
      <w:r>
        <w:rPr>
          <w:spacing w:val="-8"/>
          <w:sz w:val="24"/>
        </w:rPr>
        <w:t> </w:t>
      </w:r>
      <w:r>
        <w:rPr>
          <w:sz w:val="24"/>
        </w:rPr>
        <w:t>une-sous-marque</w:t>
      </w:r>
      <w:r>
        <w:rPr>
          <w:spacing w:val="-9"/>
          <w:sz w:val="24"/>
        </w:rPr>
        <w:t> </w:t>
      </w:r>
      <w:r>
        <w:rPr>
          <w:sz w:val="24"/>
        </w:rPr>
        <w:t>ou</w:t>
      </w:r>
      <w:r>
        <w:rPr>
          <w:spacing w:val="-7"/>
          <w:sz w:val="24"/>
        </w:rPr>
        <w:t> </w:t>
      </w:r>
      <w:r>
        <w:rPr>
          <w:sz w:val="24"/>
        </w:rPr>
        <w:t>une</w:t>
      </w:r>
      <w:r>
        <w:rPr>
          <w:spacing w:val="-8"/>
          <w:sz w:val="24"/>
        </w:rPr>
        <w:t> </w:t>
      </w:r>
      <w:r>
        <w:rPr>
          <w:sz w:val="24"/>
        </w:rPr>
        <w:t>variante stylisée de la marque antérieure pour une autre (nouvelle) ligne des produits pertinents compris dans la classe 3 &amp;bra; 23/10/2002,-104/01, Miss Fifties (fig.)/Fifties, EU:T:2002:262, § 49 &amp;ket;.</w:t>
      </w:r>
    </w:p>
    <w:p>
      <w:pPr>
        <w:pStyle w:val="BodyText"/>
        <w:spacing w:before="84"/>
      </w:pPr>
    </w:p>
    <w:p>
      <w:pPr>
        <w:spacing w:before="0"/>
        <w:ind w:left="448" w:right="0" w:firstLine="0"/>
        <w:jc w:val="left"/>
        <w:rPr>
          <w:i/>
          <w:sz w:val="24"/>
        </w:rPr>
      </w:pPr>
      <w:r>
        <w:rPr>
          <w:i/>
          <w:spacing w:val="-2"/>
          <w:sz w:val="24"/>
        </w:rPr>
        <w:t>Conclusion</w:t>
      </w:r>
    </w:p>
    <w:p>
      <w:pPr>
        <w:pStyle w:val="ListParagraph"/>
        <w:numPr>
          <w:ilvl w:val="0"/>
          <w:numId w:val="1"/>
        </w:numPr>
        <w:tabs>
          <w:tab w:pos="448" w:val="left" w:leader="none"/>
        </w:tabs>
        <w:spacing w:line="240" w:lineRule="auto" w:before="241" w:after="0"/>
        <w:ind w:left="448" w:right="18" w:hanging="425"/>
        <w:jc w:val="both"/>
        <w:rPr>
          <w:sz w:val="24"/>
        </w:rPr>
      </w:pPr>
      <w:r>
        <w:rPr>
          <w:sz w:val="24"/>
        </w:rPr>
        <w:t>La chambre de recours conclut qu’il existe un risque de confusion entre le signe contesté et la marque </w:t>
      </w:r>
      <w:r>
        <w:rPr>
          <w:b/>
          <w:sz w:val="24"/>
        </w:rPr>
        <w:t>antérieure «no 5» </w:t>
      </w:r>
      <w:r>
        <w:rPr>
          <w:sz w:val="24"/>
        </w:rPr>
        <w:t>(marque antérieure no 2) en ce qui concerne les produits compris dans la classe 3 (parfumerie et cosmétiques) pour le grand public-francophone </w:t>
      </w:r>
      <w:r>
        <w:rPr>
          <w:spacing w:val="-2"/>
          <w:sz w:val="24"/>
        </w:rPr>
        <w:t>pertinent.</w:t>
      </w:r>
    </w:p>
    <w:p>
      <w:pPr>
        <w:pStyle w:val="ListParagraph"/>
        <w:numPr>
          <w:ilvl w:val="0"/>
          <w:numId w:val="1"/>
        </w:numPr>
        <w:tabs>
          <w:tab w:pos="448" w:val="left" w:leader="none"/>
        </w:tabs>
        <w:spacing w:line="240" w:lineRule="auto" w:before="240" w:after="0"/>
        <w:ind w:left="448" w:right="21" w:hanging="425"/>
        <w:jc w:val="both"/>
        <w:rPr>
          <w:sz w:val="24"/>
        </w:rPr>
      </w:pPr>
      <w:r>
        <w:rPr>
          <w:sz w:val="24"/>
        </w:rPr>
        <w:t>Étant donné</w:t>
      </w:r>
      <w:r>
        <w:rPr>
          <w:spacing w:val="-1"/>
          <w:sz w:val="24"/>
        </w:rPr>
        <w:t> </w:t>
      </w:r>
      <w:r>
        <w:rPr>
          <w:sz w:val="24"/>
        </w:rPr>
        <w:t>que</w:t>
      </w:r>
      <w:r>
        <w:rPr>
          <w:spacing w:val="-1"/>
          <w:sz w:val="24"/>
        </w:rPr>
        <w:t> </w:t>
      </w:r>
      <w:r>
        <w:rPr>
          <w:sz w:val="24"/>
        </w:rPr>
        <w:t>l’opposition est accueillie</w:t>
      </w:r>
      <w:r>
        <w:rPr>
          <w:spacing w:val="-1"/>
          <w:sz w:val="24"/>
        </w:rPr>
        <w:t> </w:t>
      </w:r>
      <w:r>
        <w:rPr>
          <w:sz w:val="24"/>
        </w:rPr>
        <w:t>pour l’ensemble</w:t>
      </w:r>
      <w:r>
        <w:rPr>
          <w:spacing w:val="-1"/>
          <w:sz w:val="24"/>
        </w:rPr>
        <w:t> </w:t>
      </w:r>
      <w:r>
        <w:rPr>
          <w:sz w:val="24"/>
        </w:rPr>
        <w:t>des produits contestés faisant l’objet</w:t>
      </w:r>
      <w:r>
        <w:rPr>
          <w:spacing w:val="-15"/>
          <w:sz w:val="24"/>
        </w:rPr>
        <w:t> </w:t>
      </w:r>
      <w:r>
        <w:rPr>
          <w:sz w:val="24"/>
        </w:rPr>
        <w:t>du</w:t>
      </w:r>
      <w:r>
        <w:rPr>
          <w:spacing w:val="-15"/>
          <w:sz w:val="24"/>
        </w:rPr>
        <w:t> </w:t>
      </w:r>
      <w:r>
        <w:rPr>
          <w:sz w:val="24"/>
        </w:rPr>
        <w:t>présent</w:t>
      </w:r>
      <w:r>
        <w:rPr>
          <w:spacing w:val="-15"/>
          <w:sz w:val="24"/>
        </w:rPr>
        <w:t> </w:t>
      </w:r>
      <w:r>
        <w:rPr>
          <w:sz w:val="24"/>
        </w:rPr>
        <w:t>recours,</w:t>
      </w:r>
      <w:r>
        <w:rPr>
          <w:spacing w:val="-15"/>
          <w:sz w:val="24"/>
        </w:rPr>
        <w:t> </w:t>
      </w:r>
      <w:r>
        <w:rPr>
          <w:sz w:val="24"/>
        </w:rPr>
        <w:t>il</w:t>
      </w:r>
      <w:r>
        <w:rPr>
          <w:spacing w:val="-15"/>
          <w:sz w:val="24"/>
        </w:rPr>
        <w:t> </w:t>
      </w:r>
      <w:r>
        <w:rPr>
          <w:sz w:val="24"/>
        </w:rPr>
        <w:t>n’est</w:t>
      </w:r>
      <w:r>
        <w:rPr>
          <w:spacing w:val="-15"/>
          <w:sz w:val="24"/>
        </w:rPr>
        <w:t> </w:t>
      </w:r>
      <w:r>
        <w:rPr>
          <w:sz w:val="24"/>
        </w:rPr>
        <w:t>pas</w:t>
      </w:r>
      <w:r>
        <w:rPr>
          <w:spacing w:val="-15"/>
          <w:sz w:val="24"/>
        </w:rPr>
        <w:t> </w:t>
      </w:r>
      <w:r>
        <w:rPr>
          <w:sz w:val="24"/>
        </w:rPr>
        <w:t>nécessaire</w:t>
      </w:r>
      <w:r>
        <w:rPr>
          <w:spacing w:val="-15"/>
          <w:sz w:val="24"/>
        </w:rPr>
        <w:t> </w:t>
      </w:r>
      <w:r>
        <w:rPr>
          <w:sz w:val="24"/>
        </w:rPr>
        <w:t>d’examiner</w:t>
      </w:r>
      <w:r>
        <w:rPr>
          <w:spacing w:val="-15"/>
          <w:sz w:val="24"/>
        </w:rPr>
        <w:t> </w:t>
      </w:r>
      <w:r>
        <w:rPr>
          <w:sz w:val="24"/>
        </w:rPr>
        <w:t>l’autre</w:t>
      </w:r>
      <w:r>
        <w:rPr>
          <w:spacing w:val="-15"/>
          <w:sz w:val="24"/>
        </w:rPr>
        <w:t> </w:t>
      </w:r>
      <w:r>
        <w:rPr>
          <w:sz w:val="24"/>
        </w:rPr>
        <w:t>droit</w:t>
      </w:r>
      <w:r>
        <w:rPr>
          <w:spacing w:val="-15"/>
          <w:sz w:val="24"/>
        </w:rPr>
        <w:t> </w:t>
      </w:r>
      <w:r>
        <w:rPr>
          <w:sz w:val="24"/>
        </w:rPr>
        <w:t>antérieur</w:t>
      </w:r>
      <w:r>
        <w:rPr>
          <w:spacing w:val="-15"/>
          <w:sz w:val="24"/>
        </w:rPr>
        <w:t> </w:t>
      </w:r>
      <w:r>
        <w:rPr>
          <w:sz w:val="24"/>
        </w:rPr>
        <w:t>invoqué par l’opposante (marque antérieure no 1).</w:t>
      </w:r>
    </w:p>
    <w:p>
      <w:pPr>
        <w:pStyle w:val="ListParagraph"/>
        <w:numPr>
          <w:ilvl w:val="0"/>
          <w:numId w:val="1"/>
        </w:numPr>
        <w:tabs>
          <w:tab w:pos="448" w:val="left" w:leader="none"/>
        </w:tabs>
        <w:spacing w:line="240" w:lineRule="auto" w:before="240" w:after="0"/>
        <w:ind w:left="448" w:right="24" w:hanging="425"/>
        <w:jc w:val="both"/>
        <w:rPr>
          <w:sz w:val="24"/>
        </w:rPr>
      </w:pPr>
      <w:r>
        <w:rPr>
          <w:sz w:val="24"/>
        </w:rPr>
        <w:t>À la lumière dece qui précède, le recours est accueilli, la décision attaquée est annulée, l’opposition est accueillie et l’enregistrement de la marque contestée est refusé dans son </w:t>
      </w:r>
      <w:r>
        <w:rPr>
          <w:spacing w:val="-2"/>
          <w:sz w:val="24"/>
        </w:rPr>
        <w:t>intégralité.</w:t>
      </w:r>
    </w:p>
    <w:p>
      <w:pPr>
        <w:pStyle w:val="BodyText"/>
        <w:spacing w:before="204"/>
      </w:pPr>
    </w:p>
    <w:p>
      <w:pPr>
        <w:spacing w:before="0"/>
        <w:ind w:left="448" w:right="0" w:firstLine="0"/>
        <w:jc w:val="left"/>
        <w:rPr>
          <w:b/>
          <w:sz w:val="24"/>
        </w:rPr>
      </w:pPr>
      <w:r>
        <w:rPr>
          <w:b/>
          <w:spacing w:val="-2"/>
          <w:sz w:val="24"/>
        </w:rPr>
        <w:t>Frais</w:t>
      </w:r>
    </w:p>
    <w:p>
      <w:pPr>
        <w:pStyle w:val="ListParagraph"/>
        <w:numPr>
          <w:ilvl w:val="0"/>
          <w:numId w:val="1"/>
        </w:numPr>
        <w:tabs>
          <w:tab w:pos="448" w:val="left" w:leader="none"/>
        </w:tabs>
        <w:spacing w:line="240" w:lineRule="auto" w:before="240" w:after="0"/>
        <w:ind w:left="448" w:right="17" w:hanging="425"/>
        <w:jc w:val="both"/>
        <w:rPr>
          <w:sz w:val="24"/>
        </w:rPr>
      </w:pPr>
      <w:r>
        <w:rPr>
          <w:sz w:val="24"/>
        </w:rPr>
        <w:t>Conformément à l’article</w:t>
      </w:r>
      <w:r>
        <w:rPr>
          <w:spacing w:val="-2"/>
          <w:sz w:val="24"/>
        </w:rPr>
        <w:t> </w:t>
      </w:r>
      <w:r>
        <w:rPr>
          <w:sz w:val="24"/>
        </w:rPr>
        <w:t>109, paragraphe</w:t>
      </w:r>
      <w:r>
        <w:rPr>
          <w:spacing w:val="-3"/>
          <w:sz w:val="24"/>
        </w:rPr>
        <w:t> </w:t>
      </w:r>
      <w:r>
        <w:rPr>
          <w:sz w:val="24"/>
        </w:rPr>
        <w:t>1, du RMUE et à l’article</w:t>
      </w:r>
      <w:r>
        <w:rPr>
          <w:spacing w:val="-1"/>
          <w:sz w:val="24"/>
        </w:rPr>
        <w:t> </w:t>
      </w:r>
      <w:r>
        <w:rPr>
          <w:sz w:val="24"/>
        </w:rPr>
        <w:t>18 du REMUE, la demanderesse, en tant que partie perdante, supporte les frais exposés par l’opposante aux fins des procédures d’opposition et de recours.</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5"/>
        <w:rPr>
          <w:sz w:val="18"/>
        </w:rPr>
      </w:pPr>
    </w:p>
    <w:p>
      <w:pPr>
        <w:spacing w:before="0"/>
        <w:ind w:left="0" w:right="1" w:firstLine="0"/>
        <w:jc w:val="center"/>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p>
      <w:pPr>
        <w:spacing w:after="0"/>
        <w:jc w:val="center"/>
        <w:rPr>
          <w:sz w:val="18"/>
        </w:rPr>
        <w:sectPr>
          <w:pgSz w:w="11910" w:h="16840"/>
          <w:pgMar w:header="970" w:footer="0" w:top="1340" w:bottom="280" w:left="1417" w:right="1417"/>
        </w:sectPr>
      </w:pPr>
    </w:p>
    <w:p>
      <w:pPr>
        <w:pStyle w:val="ListParagraph"/>
        <w:numPr>
          <w:ilvl w:val="0"/>
          <w:numId w:val="1"/>
        </w:numPr>
        <w:tabs>
          <w:tab w:pos="448" w:val="left" w:leader="none"/>
        </w:tabs>
        <w:spacing w:line="240" w:lineRule="auto" w:before="80" w:after="0"/>
        <w:ind w:left="448" w:right="26" w:hanging="425"/>
        <w:jc w:val="both"/>
        <w:rPr>
          <w:sz w:val="24"/>
        </w:rPr>
      </w:pPr>
      <w:r>
        <w:rPr>
          <w:sz w:val="24"/>
        </w:rPr>
        <mc:AlternateContent>
          <mc:Choice Requires="wps">
            <w:drawing>
              <wp:anchor distT="0" distB="0" distL="0" distR="0" allowOverlap="1" layoutInCell="1" locked="0" behindDoc="0" simplePos="0" relativeHeight="15758336">
                <wp:simplePos x="0" y="0"/>
                <wp:positionH relativeFrom="page">
                  <wp:posOffset>270575</wp:posOffset>
                </wp:positionH>
                <wp:positionV relativeFrom="page">
                  <wp:posOffset>1114363</wp:posOffset>
                </wp:positionV>
                <wp:extent cx="146050" cy="921004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146050" cy="9210040"/>
                        </a:xfrm>
                        <a:prstGeom prst="rect">
                          <a:avLst/>
                        </a:prstGeom>
                      </wps:spPr>
                      <wps:txbx>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wps:txbx>
                      <wps:bodyPr wrap="square" lIns="0" tIns="0" rIns="0" bIns="0" rtlCol="0" vert="vert270">
                        <a:noAutofit/>
                      </wps:bodyPr>
                    </wps:wsp>
                  </a:graphicData>
                </a:graphic>
              </wp:anchor>
            </w:drawing>
          </mc:Choice>
          <mc:Fallback>
            <w:pict>
              <v:shape style="position:absolute;margin-left:21.305176pt;margin-top:87.745193pt;width:11.5pt;height:725.2pt;mso-position-horizontal-relative:page;mso-position-vertical-relative:page;z-index:15758336" type="#_x0000_t202" id="docshape47" filled="false" stroked="false">
                <v:textbox inset="0,0,0,0" style="layout-flow:vertical;mso-layout-flow-alt:bottom-to-top">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v:textbox>
                <w10:wrap type="none"/>
              </v:shape>
            </w:pict>
          </mc:Fallback>
        </mc:AlternateContent>
      </w:r>
      <w:r>
        <w:rPr>
          <w:sz w:val="24"/>
        </w:rPr>
        <w:t>En ce qui concerne la procédure de recours, les frais comprennent la taxe de recours de 720 EUR et les frais de représentation professionnelle de l’opposante de 550 EUR.</w:t>
      </w:r>
    </w:p>
    <w:p>
      <w:pPr>
        <w:pStyle w:val="ListParagraph"/>
        <w:numPr>
          <w:ilvl w:val="0"/>
          <w:numId w:val="1"/>
        </w:numPr>
        <w:tabs>
          <w:tab w:pos="448" w:val="left" w:leader="none"/>
        </w:tabs>
        <w:spacing w:line="240" w:lineRule="auto" w:before="240" w:after="0"/>
        <w:ind w:left="448" w:right="21" w:hanging="425"/>
        <w:jc w:val="both"/>
        <w:rPr>
          <w:sz w:val="24"/>
        </w:rPr>
      </w:pPr>
      <w:r>
        <w:rPr>
          <w:sz w:val="24"/>
        </w:rPr>
        <w:t>En ce qui concerne la procédure d’opposition, la demanderesse doit rembourser la taxe d’opposition de 320</w:t>
      </w:r>
      <w:r>
        <w:rPr>
          <w:spacing w:val="-1"/>
          <w:sz w:val="24"/>
        </w:rPr>
        <w:t> </w:t>
      </w:r>
      <w:r>
        <w:rPr>
          <w:sz w:val="24"/>
        </w:rPr>
        <w:t>EUR et les frais de représentation professionnelle de l’opposante de 300 EUR. Le montant total s’élève à 1 890 EUR.</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9"/>
        <w:rPr>
          <w:sz w:val="18"/>
        </w:rPr>
      </w:pPr>
    </w:p>
    <w:p>
      <w:pPr>
        <w:spacing w:before="0"/>
        <w:ind w:left="0" w:right="1" w:firstLine="0"/>
        <w:jc w:val="center"/>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p>
      <w:pPr>
        <w:spacing w:after="0"/>
        <w:jc w:val="center"/>
        <w:rPr>
          <w:sz w:val="18"/>
        </w:rPr>
        <w:sectPr>
          <w:pgSz w:w="11910" w:h="16840"/>
          <w:pgMar w:header="970" w:footer="0" w:top="1340" w:bottom="280" w:left="1417" w:right="1417"/>
        </w:sectPr>
      </w:pPr>
    </w:p>
    <w:p>
      <w:pPr>
        <w:spacing w:before="80"/>
        <w:ind w:left="448" w:right="0" w:firstLine="0"/>
        <w:jc w:val="left"/>
        <w:rPr>
          <w:b/>
          <w:sz w:val="24"/>
        </w:rPr>
      </w:pPr>
      <w:r>
        <w:rPr>
          <w:b/>
          <w:sz w:val="24"/>
        </w:rPr>
        <mc:AlternateContent>
          <mc:Choice Requires="wps">
            <w:drawing>
              <wp:anchor distT="0" distB="0" distL="0" distR="0" allowOverlap="1" layoutInCell="1" locked="0" behindDoc="0" simplePos="0" relativeHeight="15758848">
                <wp:simplePos x="0" y="0"/>
                <wp:positionH relativeFrom="page">
                  <wp:posOffset>270575</wp:posOffset>
                </wp:positionH>
                <wp:positionV relativeFrom="page">
                  <wp:posOffset>1114363</wp:posOffset>
                </wp:positionV>
                <wp:extent cx="146050" cy="921004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146050" cy="9210040"/>
                        </a:xfrm>
                        <a:prstGeom prst="rect">
                          <a:avLst/>
                        </a:prstGeom>
                      </wps:spPr>
                      <wps:txbx>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wps:txbx>
                      <wps:bodyPr wrap="square" lIns="0" tIns="0" rIns="0" bIns="0" rtlCol="0" vert="vert270">
                        <a:noAutofit/>
                      </wps:bodyPr>
                    </wps:wsp>
                  </a:graphicData>
                </a:graphic>
              </wp:anchor>
            </w:drawing>
          </mc:Choice>
          <mc:Fallback>
            <w:pict>
              <v:shape style="position:absolute;margin-left:21.305176pt;margin-top:87.745193pt;width:11.5pt;height:725.2pt;mso-position-horizontal-relative:page;mso-position-vertical-relative:page;z-index:15758848" type="#_x0000_t202" id="docshape48" filled="false" stroked="false">
                <v:textbox inset="0,0,0,0" style="layout-flow:vertical;mso-layout-flow-alt:bottom-to-top">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v:textbox>
                <w10:wrap type="none"/>
              </v:shape>
            </w:pict>
          </mc:Fallback>
        </mc:AlternateContent>
      </w:r>
      <w:r>
        <w:rPr>
          <w:b/>
          <w:spacing w:val="-2"/>
          <w:sz w:val="24"/>
        </w:rPr>
        <w:t>Dispositif</w:t>
      </w:r>
    </w:p>
    <w:p>
      <w:pPr>
        <w:pStyle w:val="BodyText"/>
        <w:spacing w:before="240"/>
        <w:ind w:left="448"/>
      </w:pPr>
      <w:r>
        <w:rPr/>
        <w:t>Par</w:t>
      </w:r>
      <w:r>
        <w:rPr>
          <w:spacing w:val="-2"/>
        </w:rPr>
        <w:t> </w:t>
      </w:r>
      <w:r>
        <w:rPr/>
        <w:t>ces</w:t>
      </w:r>
      <w:r>
        <w:rPr>
          <w:spacing w:val="-2"/>
        </w:rPr>
        <w:t> motifs,</w:t>
      </w:r>
    </w:p>
    <w:p>
      <w:pPr>
        <w:pStyle w:val="BodyText"/>
        <w:spacing w:before="204"/>
      </w:pPr>
    </w:p>
    <w:p>
      <w:pPr>
        <w:pStyle w:val="BodyText"/>
        <w:jc w:val="center"/>
      </w:pPr>
      <w:r>
        <w:rPr/>
        <w:t>LA</w:t>
      </w:r>
      <w:r>
        <w:rPr>
          <w:spacing w:val="-3"/>
        </w:rPr>
        <w:t> </w:t>
      </w:r>
      <w:r>
        <w:rPr>
          <w:spacing w:val="-2"/>
        </w:rPr>
        <w:t>CHAMBRE</w:t>
      </w:r>
    </w:p>
    <w:p>
      <w:pPr>
        <w:pStyle w:val="BodyText"/>
        <w:spacing w:before="204"/>
      </w:pPr>
    </w:p>
    <w:p>
      <w:pPr>
        <w:pStyle w:val="BodyText"/>
        <w:ind w:left="448"/>
      </w:pPr>
      <w:r>
        <w:rPr/>
        <w:t>déclare</w:t>
      </w:r>
      <w:r>
        <w:rPr>
          <w:spacing w:val="-5"/>
        </w:rPr>
        <w:t> </w:t>
      </w:r>
      <w:r>
        <w:rPr/>
        <w:t>et</w:t>
      </w:r>
      <w:r>
        <w:rPr>
          <w:spacing w:val="-1"/>
        </w:rPr>
        <w:t> </w:t>
      </w:r>
      <w:r>
        <w:rPr>
          <w:spacing w:val="-2"/>
        </w:rPr>
        <w:t>arrête:</w:t>
      </w:r>
    </w:p>
    <w:p>
      <w:pPr>
        <w:pStyle w:val="ListParagraph"/>
        <w:numPr>
          <w:ilvl w:val="0"/>
          <w:numId w:val="6"/>
        </w:numPr>
        <w:tabs>
          <w:tab w:pos="875" w:val="left" w:leader="none"/>
        </w:tabs>
        <w:spacing w:line="240" w:lineRule="auto" w:before="240" w:after="0"/>
        <w:ind w:left="875" w:right="0" w:hanging="427"/>
        <w:jc w:val="left"/>
        <w:rPr>
          <w:b/>
          <w:sz w:val="24"/>
        </w:rPr>
      </w:pPr>
      <w:r>
        <w:rPr>
          <w:b/>
          <w:sz w:val="24"/>
        </w:rPr>
        <w:t>Annule</w:t>
      </w:r>
      <w:r>
        <w:rPr>
          <w:b/>
          <w:spacing w:val="-1"/>
          <w:sz w:val="24"/>
        </w:rPr>
        <w:t> </w:t>
      </w:r>
      <w:r>
        <w:rPr>
          <w:b/>
          <w:sz w:val="24"/>
        </w:rPr>
        <w:t>la décision </w:t>
      </w:r>
      <w:r>
        <w:rPr>
          <w:b/>
          <w:spacing w:val="-2"/>
          <w:sz w:val="24"/>
        </w:rPr>
        <w:t>attaquée.</w:t>
      </w:r>
    </w:p>
    <w:p>
      <w:pPr>
        <w:pStyle w:val="ListParagraph"/>
        <w:numPr>
          <w:ilvl w:val="0"/>
          <w:numId w:val="6"/>
        </w:numPr>
        <w:tabs>
          <w:tab w:pos="875" w:val="left" w:leader="none"/>
        </w:tabs>
        <w:spacing w:line="240" w:lineRule="auto" w:before="240" w:after="0"/>
        <w:ind w:left="875" w:right="0" w:hanging="427"/>
        <w:jc w:val="left"/>
        <w:rPr>
          <w:b/>
          <w:sz w:val="24"/>
        </w:rPr>
      </w:pPr>
      <w:r>
        <w:rPr>
          <w:b/>
          <w:sz w:val="24"/>
        </w:rPr>
        <w:t>Rejette</w:t>
      </w:r>
      <w:r>
        <w:rPr>
          <w:b/>
          <w:spacing w:val="-3"/>
          <w:sz w:val="24"/>
        </w:rPr>
        <w:t> </w:t>
      </w:r>
      <w:r>
        <w:rPr>
          <w:b/>
          <w:sz w:val="24"/>
        </w:rPr>
        <w:t>la</w:t>
      </w:r>
      <w:r>
        <w:rPr>
          <w:b/>
          <w:spacing w:val="-1"/>
          <w:sz w:val="24"/>
        </w:rPr>
        <w:t> </w:t>
      </w:r>
      <w:r>
        <w:rPr>
          <w:b/>
          <w:sz w:val="24"/>
        </w:rPr>
        <w:t>demande</w:t>
      </w:r>
      <w:r>
        <w:rPr>
          <w:b/>
          <w:spacing w:val="-2"/>
          <w:sz w:val="24"/>
        </w:rPr>
        <w:t> </w:t>
      </w:r>
      <w:r>
        <w:rPr>
          <w:b/>
          <w:sz w:val="24"/>
        </w:rPr>
        <w:t>dans</w:t>
      </w:r>
      <w:r>
        <w:rPr>
          <w:b/>
          <w:spacing w:val="-1"/>
          <w:sz w:val="24"/>
        </w:rPr>
        <w:t> </w:t>
      </w:r>
      <w:r>
        <w:rPr>
          <w:b/>
          <w:sz w:val="24"/>
        </w:rPr>
        <w:t>son </w:t>
      </w:r>
      <w:r>
        <w:rPr>
          <w:b/>
          <w:spacing w:val="-2"/>
          <w:sz w:val="24"/>
        </w:rPr>
        <w:t>intégralité;</w:t>
      </w:r>
    </w:p>
    <w:p>
      <w:pPr>
        <w:pStyle w:val="ListParagraph"/>
        <w:numPr>
          <w:ilvl w:val="0"/>
          <w:numId w:val="6"/>
        </w:numPr>
        <w:tabs>
          <w:tab w:pos="875" w:val="left" w:leader="none"/>
        </w:tabs>
        <w:spacing w:line="240" w:lineRule="auto" w:before="241" w:after="0"/>
        <w:ind w:left="875" w:right="25" w:hanging="428"/>
        <w:jc w:val="left"/>
        <w:rPr>
          <w:b/>
          <w:sz w:val="24"/>
        </w:rPr>
      </w:pPr>
      <w:r>
        <w:rPr>
          <w:b/>
          <w:sz w:val="24"/>
        </w:rPr>
        <w:t>Condamne la demanderesse à supporter les frais exposés par l’opposante aux</w:t>
      </w:r>
      <w:r>
        <w:rPr>
          <w:b/>
          <w:spacing w:val="40"/>
          <w:sz w:val="24"/>
        </w:rPr>
        <w:t> </w:t>
      </w:r>
      <w:r>
        <w:rPr>
          <w:b/>
          <w:sz w:val="24"/>
        </w:rPr>
        <w:t>fins des procédures d’opposition et de recours pour un montant de 1 890 EUR.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8"/>
        <w:rPr>
          <w:b/>
          <w:sz w:val="20"/>
        </w:rPr>
      </w:pPr>
    </w:p>
    <w:tbl>
      <w:tblPr>
        <w:tblW w:w="0" w:type="auto"/>
        <w:jc w:val="left"/>
        <w:tblInd w:w="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6"/>
        <w:gridCol w:w="2742"/>
        <w:gridCol w:w="3305"/>
      </w:tblGrid>
      <w:tr>
        <w:trPr>
          <w:trHeight w:val="3302" w:hRule="atLeast"/>
        </w:trPr>
        <w:tc>
          <w:tcPr>
            <w:tcW w:w="1956" w:type="dxa"/>
          </w:tcPr>
          <w:p>
            <w:pPr>
              <w:pStyle w:val="TableParagraph"/>
              <w:rPr>
                <w:b/>
                <w:sz w:val="24"/>
              </w:rPr>
            </w:pPr>
          </w:p>
          <w:p>
            <w:pPr>
              <w:pStyle w:val="TableParagraph"/>
              <w:spacing w:before="126"/>
              <w:rPr>
                <w:b/>
                <w:sz w:val="24"/>
              </w:rPr>
            </w:pPr>
          </w:p>
          <w:p>
            <w:pPr>
              <w:pStyle w:val="TableParagraph"/>
              <w:ind w:left="83"/>
              <w:rPr>
                <w:sz w:val="24"/>
              </w:rPr>
            </w:pPr>
            <w:r>
              <w:rPr>
                <w:spacing w:val="-2"/>
                <w:sz w:val="24"/>
              </w:rPr>
              <w:t>Signature</w:t>
            </w:r>
          </w:p>
          <w:p>
            <w:pPr>
              <w:pStyle w:val="TableParagraph"/>
              <w:rPr>
                <w:b/>
                <w:sz w:val="24"/>
              </w:rPr>
            </w:pPr>
          </w:p>
          <w:p>
            <w:pPr>
              <w:pStyle w:val="TableParagraph"/>
              <w:ind w:left="50"/>
              <w:rPr>
                <w:sz w:val="24"/>
              </w:rPr>
            </w:pPr>
            <w:r>
              <w:rPr>
                <w:sz w:val="24"/>
              </w:rPr>
              <w:t>V.</w:t>
            </w:r>
            <w:r>
              <w:rPr>
                <w:spacing w:val="-2"/>
                <w:sz w:val="24"/>
              </w:rPr>
              <w:t> Melgar</w:t>
            </w:r>
          </w:p>
        </w:tc>
        <w:tc>
          <w:tcPr>
            <w:tcW w:w="2742" w:type="dxa"/>
          </w:tcPr>
          <w:p>
            <w:pPr>
              <w:pStyle w:val="TableParagraph"/>
              <w:rPr>
                <w:b/>
                <w:sz w:val="24"/>
              </w:rPr>
            </w:pPr>
          </w:p>
          <w:p>
            <w:pPr>
              <w:pStyle w:val="TableParagraph"/>
              <w:spacing w:before="126"/>
              <w:rPr>
                <w:b/>
                <w:sz w:val="24"/>
              </w:rPr>
            </w:pPr>
          </w:p>
          <w:p>
            <w:pPr>
              <w:pStyle w:val="TableParagraph"/>
              <w:spacing w:line="480" w:lineRule="auto"/>
              <w:ind w:left="921" w:right="465" w:firstLine="216"/>
              <w:rPr>
                <w:sz w:val="24"/>
              </w:rPr>
            </w:pPr>
            <w:r>
              <w:rPr>
                <w:spacing w:val="-2"/>
                <w:sz w:val="24"/>
              </w:rPr>
              <w:t>Signature </w:t>
            </w:r>
            <w:r>
              <w:rPr>
                <w:sz w:val="24"/>
              </w:rPr>
              <w:t>Ph.</w:t>
            </w:r>
            <w:r>
              <w:rPr>
                <w:spacing w:val="-15"/>
                <w:sz w:val="24"/>
              </w:rPr>
              <w:t> </w:t>
            </w:r>
            <w:r>
              <w:rPr>
                <w:sz w:val="24"/>
              </w:rPr>
              <w:t>von</w:t>
            </w:r>
            <w:r>
              <w:rPr>
                <w:spacing w:val="-15"/>
                <w:sz w:val="24"/>
              </w:rPr>
              <w:t> </w:t>
            </w:r>
            <w:r>
              <w:rPr>
                <w:sz w:val="24"/>
              </w:rPr>
              <w:t>Kapff</w:t>
            </w:r>
          </w:p>
        </w:tc>
        <w:tc>
          <w:tcPr>
            <w:tcW w:w="3305" w:type="dxa"/>
          </w:tcPr>
          <w:p>
            <w:pPr>
              <w:pStyle w:val="TableParagraph"/>
              <w:ind w:left="423"/>
              <w:jc w:val="center"/>
              <w:rPr>
                <w:sz w:val="24"/>
              </w:rPr>
            </w:pPr>
            <w:r>
              <w:rPr>
                <w:sz w:val="24"/>
              </w:rPr>
              <w:t>Conformément</w:t>
            </w:r>
            <w:r>
              <w:rPr>
                <w:spacing w:val="-13"/>
                <w:sz w:val="24"/>
              </w:rPr>
              <w:t> </w:t>
            </w:r>
            <w:r>
              <w:rPr>
                <w:sz w:val="24"/>
              </w:rPr>
              <w:t>à</w:t>
            </w:r>
            <w:r>
              <w:rPr>
                <w:spacing w:val="-13"/>
                <w:sz w:val="24"/>
              </w:rPr>
              <w:t> </w:t>
            </w:r>
            <w:r>
              <w:rPr>
                <w:sz w:val="24"/>
              </w:rPr>
              <w:t>l’article</w:t>
            </w:r>
            <w:r>
              <w:rPr>
                <w:spacing w:val="-11"/>
                <w:sz w:val="24"/>
              </w:rPr>
              <w:t> </w:t>
            </w:r>
            <w:r>
              <w:rPr>
                <w:sz w:val="24"/>
              </w:rPr>
              <w:t>39, paragraphe 5, du règlement délégué de la Commission (UE) 2018/625</w:t>
            </w:r>
          </w:p>
          <w:p>
            <w:pPr>
              <w:pStyle w:val="TableParagraph"/>
              <w:spacing w:before="266"/>
              <w:ind w:left="423" w:right="4"/>
              <w:jc w:val="center"/>
              <w:rPr>
                <w:sz w:val="24"/>
              </w:rPr>
            </w:pPr>
            <w:r>
              <w:rPr>
                <w:spacing w:val="-2"/>
                <w:sz w:val="24"/>
              </w:rPr>
              <w:t>Signature</w:t>
            </w:r>
          </w:p>
          <w:p>
            <w:pPr>
              <w:pStyle w:val="TableParagraph"/>
              <w:rPr>
                <w:b/>
                <w:sz w:val="24"/>
              </w:rPr>
            </w:pPr>
          </w:p>
          <w:p>
            <w:pPr>
              <w:pStyle w:val="TableParagraph"/>
              <w:spacing w:line="480" w:lineRule="auto"/>
              <w:ind w:left="1331" w:right="897" w:firstLine="38"/>
              <w:rPr>
                <w:sz w:val="24"/>
              </w:rPr>
            </w:pPr>
            <w:r>
              <w:rPr>
                <w:sz w:val="24"/>
              </w:rPr>
              <w:t>V. Melgar Au nom </w:t>
            </w:r>
            <w:r>
              <w:rPr>
                <w:spacing w:val="-5"/>
                <w:sz w:val="24"/>
              </w:rPr>
              <w:t>d</w:t>
            </w:r>
            <w:r>
              <w:rPr>
                <w:spacing w:val="-5"/>
                <w:sz w:val="24"/>
              </w:rPr>
              <w:t>e</w:t>
            </w:r>
          </w:p>
          <w:p>
            <w:pPr>
              <w:pStyle w:val="TableParagraph"/>
              <w:spacing w:line="256" w:lineRule="exact"/>
              <w:ind w:left="1377"/>
              <w:rPr>
                <w:sz w:val="24"/>
              </w:rPr>
            </w:pPr>
            <w:r>
              <w:rPr>
                <w:sz w:val="24"/>
              </w:rPr>
              <w:t>R.</w:t>
            </w:r>
            <w:r>
              <w:rPr>
                <w:spacing w:val="-2"/>
                <w:sz w:val="24"/>
              </w:rPr>
              <w:t> Ocquet</w:t>
            </w:r>
          </w:p>
        </w:tc>
      </w:tr>
    </w:tbl>
    <w:p>
      <w:pPr>
        <w:pStyle w:val="BodyText"/>
        <w:rPr>
          <w:b/>
          <w:sz w:val="20"/>
        </w:rPr>
      </w:pPr>
    </w:p>
    <w:p>
      <w:pPr>
        <w:pStyle w:val="BodyText"/>
        <w:rPr>
          <w:b/>
          <w:sz w:val="20"/>
        </w:rPr>
      </w:pPr>
    </w:p>
    <w:p>
      <w:pPr>
        <w:pStyle w:val="BodyText"/>
        <w:rPr>
          <w:b/>
          <w:sz w:val="20"/>
        </w:rPr>
      </w:pPr>
    </w:p>
    <w:p>
      <w:pPr>
        <w:pStyle w:val="BodyText"/>
        <w:spacing w:before="194"/>
        <w:rPr>
          <w:b/>
          <w:sz w:val="20"/>
        </w:rPr>
      </w:pPr>
    </w:p>
    <w:tbl>
      <w:tblPr>
        <w:tblW w:w="0" w:type="auto"/>
        <w:jc w:val="left"/>
        <w:tblInd w:w="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6"/>
        <w:gridCol w:w="2012"/>
      </w:tblGrid>
      <w:tr>
        <w:trPr>
          <w:trHeight w:val="1712" w:hRule="atLeast"/>
        </w:trPr>
        <w:tc>
          <w:tcPr>
            <w:tcW w:w="1646" w:type="dxa"/>
          </w:tcPr>
          <w:p>
            <w:pPr>
              <w:pStyle w:val="TableParagraph"/>
              <w:spacing w:line="480" w:lineRule="auto"/>
              <w:ind w:left="150" w:right="574" w:firstLine="40"/>
              <w:rPr>
                <w:sz w:val="24"/>
              </w:rPr>
            </w:pPr>
            <w:r>
              <w:rPr>
                <w:spacing w:val="-2"/>
                <w:sz w:val="24"/>
              </w:rPr>
              <w:t>Greffier: Signature</w:t>
            </w:r>
          </w:p>
          <w:p>
            <w:pPr>
              <w:pStyle w:val="TableParagraph"/>
              <w:ind w:left="50"/>
              <w:rPr>
                <w:sz w:val="24"/>
              </w:rPr>
            </w:pPr>
            <w:r>
              <w:rPr>
                <w:sz w:val="24"/>
              </w:rPr>
              <w:t>H. </w:t>
            </w:r>
            <w:r>
              <w:rPr>
                <w:spacing w:val="-2"/>
                <w:sz w:val="24"/>
              </w:rPr>
              <w:t>Dijkema</w:t>
            </w:r>
          </w:p>
        </w:tc>
        <w:tc>
          <w:tcPr>
            <w:tcW w:w="2012" w:type="dxa"/>
          </w:tcPr>
          <w:p>
            <w:pPr>
              <w:pStyle w:val="TableParagraph"/>
              <w:spacing w:before="10"/>
              <w:rPr>
                <w:b/>
                <w:sz w:val="19"/>
              </w:rPr>
            </w:pPr>
          </w:p>
          <w:p>
            <w:pPr>
              <w:pStyle w:val="TableParagraph"/>
              <w:ind w:left="477"/>
              <w:rPr>
                <w:sz w:val="20"/>
              </w:rPr>
            </w:pPr>
            <w:r>
              <w:rPr>
                <w:sz w:val="20"/>
              </w:rPr>
              <w:drawing>
                <wp:inline distT="0" distB="0" distL="0" distR="0">
                  <wp:extent cx="924672" cy="923925"/>
                  <wp:effectExtent l="0" t="0" r="0" b="0"/>
                  <wp:docPr id="83" name="Image 83" descr="Registrar Logo Image"/>
                  <wp:cNvGraphicFramePr>
                    <a:graphicFrameLocks/>
                  </wp:cNvGraphicFramePr>
                  <a:graphic>
                    <a:graphicData uri="http://schemas.openxmlformats.org/drawingml/2006/picture">
                      <pic:pic>
                        <pic:nvPicPr>
                          <pic:cNvPr id="83" name="Image 83" descr="Registrar Logo Image"/>
                          <pic:cNvPicPr/>
                        </pic:nvPicPr>
                        <pic:blipFill>
                          <a:blip r:embed="rId32" cstate="print"/>
                          <a:stretch>
                            <a:fillRect/>
                          </a:stretch>
                        </pic:blipFill>
                        <pic:spPr>
                          <a:xfrm>
                            <a:off x="0" y="0"/>
                            <a:ext cx="924672" cy="923925"/>
                          </a:xfrm>
                          <a:prstGeom prst="rect">
                            <a:avLst/>
                          </a:prstGeom>
                        </pic:spPr>
                      </pic:pic>
                    </a:graphicData>
                  </a:graphic>
                </wp:inline>
              </w:drawing>
            </w:r>
            <w:r>
              <w:rPr>
                <w:sz w:val="20"/>
              </w:rPr>
            </w:r>
          </w:p>
        </w:tc>
      </w:tr>
    </w:tbl>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175"/>
        <w:rPr>
          <w:b/>
          <w:sz w:val="18"/>
        </w:rPr>
      </w:pPr>
    </w:p>
    <w:p>
      <w:pPr>
        <w:spacing w:before="1"/>
        <w:ind w:left="0" w:right="1" w:firstLine="0"/>
        <w:jc w:val="center"/>
        <w:rPr>
          <w:sz w:val="18"/>
        </w:rPr>
      </w:pPr>
      <w:r>
        <w:rPr>
          <w:sz w:val="18"/>
        </w:rPr>
        <w:t>20/03/2025,</w:t>
      </w:r>
      <w:r>
        <w:rPr>
          <w:spacing w:val="-5"/>
          <w:sz w:val="18"/>
        </w:rPr>
        <w:t> </w:t>
      </w:r>
      <w:r>
        <w:rPr>
          <w:sz w:val="18"/>
        </w:rPr>
        <w:t>R</w:t>
      </w:r>
      <w:r>
        <w:rPr>
          <w:spacing w:val="-5"/>
          <w:sz w:val="18"/>
        </w:rPr>
        <w:t> </w:t>
      </w:r>
      <w:r>
        <w:rPr>
          <w:sz w:val="18"/>
        </w:rPr>
        <w:t>1603/2024-5,</w:t>
      </w:r>
      <w:r>
        <w:rPr>
          <w:spacing w:val="-2"/>
          <w:sz w:val="18"/>
        </w:rPr>
        <w:t> </w:t>
      </w:r>
      <w:r>
        <w:rPr>
          <w:sz w:val="18"/>
        </w:rPr>
        <w:t>m5</w:t>
      </w:r>
      <w:r>
        <w:rPr>
          <w:spacing w:val="-2"/>
          <w:sz w:val="18"/>
        </w:rPr>
        <w:t> </w:t>
      </w:r>
      <w:r>
        <w:rPr>
          <w:sz w:val="18"/>
        </w:rPr>
        <w:t>(fig.)/5</w:t>
      </w:r>
      <w:r>
        <w:rPr>
          <w:spacing w:val="-1"/>
          <w:sz w:val="18"/>
        </w:rPr>
        <w:t> </w:t>
      </w:r>
      <w:r>
        <w:rPr>
          <w:sz w:val="18"/>
        </w:rPr>
        <w:t>(fig.)</w:t>
      </w:r>
      <w:r>
        <w:rPr>
          <w:spacing w:val="-3"/>
          <w:sz w:val="18"/>
        </w:rPr>
        <w:t> </w:t>
      </w:r>
      <w:r>
        <w:rPr>
          <w:sz w:val="18"/>
        </w:rPr>
        <w:t>et</w:t>
      </w:r>
      <w:r>
        <w:rPr>
          <w:spacing w:val="-2"/>
          <w:sz w:val="18"/>
        </w:rPr>
        <w:t> </w:t>
      </w:r>
      <w:r>
        <w:rPr>
          <w:spacing w:val="-5"/>
          <w:sz w:val="18"/>
        </w:rPr>
        <w:t>al.</w:t>
      </w:r>
    </w:p>
    <w:sectPr>
      <w:pgSz w:w="11910" w:h="16840"/>
      <w:pgMar w:header="970" w:footer="0" w:top="1340" w:bottom="280" w:left="1417" w:right="1417"/>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Symbol">
    <w:altName w:val="Symbol"/>
    <w:charset w:val="2"/>
    <w:family w:val="decorative"/>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054336">
              <wp:simplePos x="0" y="0"/>
              <wp:positionH relativeFrom="page">
                <wp:posOffset>3704971</wp:posOffset>
              </wp:positionH>
              <wp:positionV relativeFrom="page">
                <wp:posOffset>603053</wp:posOffset>
              </wp:positionV>
              <wp:extent cx="153670" cy="16573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53670" cy="165735"/>
                      </a:xfrm>
                      <a:prstGeom prst="rect">
                        <a:avLst/>
                      </a:prstGeom>
                    </wps:spPr>
                    <wps:txbx>
                      <w:txbxContent>
                        <w:p>
                          <w:pPr>
                            <w:spacing w:before="10"/>
                            <w:ind w:left="2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291.730011pt;margin-top:47.484493pt;width:12.1pt;height:13.05pt;mso-position-horizontal-relative:page;mso-position-vertical-relative:page;z-index:-16262144" type="#_x0000_t202" id="docshape4" filled="false" stroked="false">
              <v:textbox inset="0,0,0,0">
                <w:txbxContent>
                  <w:p>
                    <w:pPr>
                      <w:spacing w:before="10"/>
                      <w:ind w:left="2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10</w:t>
                    </w:r>
                    <w:r>
                      <w:rPr>
                        <w:spacing w:val="-5"/>
                        <w:sz w:val="20"/>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054848">
              <wp:simplePos x="0" y="0"/>
              <wp:positionH relativeFrom="page">
                <wp:posOffset>368300</wp:posOffset>
              </wp:positionH>
              <wp:positionV relativeFrom="page">
                <wp:posOffset>270575</wp:posOffset>
              </wp:positionV>
              <wp:extent cx="9210040" cy="14605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9210040" cy="146050"/>
                      </a:xfrm>
                      <a:prstGeom prst="rect">
                        <a:avLst/>
                      </a:prstGeom>
                    </wps:spPr>
                    <wps:txbx>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wps:txbx>
                    <wps:bodyPr wrap="square" lIns="0" tIns="0" rIns="0" bIns="0" rtlCol="0">
                      <a:noAutofit/>
                    </wps:bodyPr>
                  </wps:wsp>
                </a:graphicData>
              </a:graphic>
            </wp:anchor>
          </w:drawing>
        </mc:Choice>
        <mc:Fallback>
          <w:pict>
            <v:shape style="position:absolute;margin-left:29pt;margin-top:21.305176pt;width:725.2pt;height:11.5pt;mso-position-horizontal-relative:page;mso-position-vertical-relative:page;z-index:-16261632" type="#_x0000_t202" id="docshape31" filled="false" stroked="false">
              <v:textbox inset="0,0,0,0">
                <w:txbxContent>
                  <w:p>
                    <w:pPr>
                      <w:spacing w:before="14"/>
                      <w:ind w:left="20" w:right="0" w:firstLine="0"/>
                      <w:jc w:val="left"/>
                      <w:rPr>
                        <w:rFonts w:ascii="Arial MT" w:hAnsi="Arial MT"/>
                        <w:sz w:val="17"/>
                      </w:rPr>
                    </w:pPr>
                    <w:r>
                      <w:rPr>
                        <w:rFonts w:ascii="Arial MT" w:hAnsi="Arial MT"/>
                        <w:color w:val="3F3F3F"/>
                        <w:sz w:val="17"/>
                      </w:rPr>
                      <w:t>Veuillez</w:t>
                    </w:r>
                    <w:r>
                      <w:rPr>
                        <w:rFonts w:ascii="Arial MT" w:hAnsi="Arial MT"/>
                        <w:color w:val="3F3F3F"/>
                        <w:spacing w:val="-6"/>
                        <w:sz w:val="17"/>
                      </w:rPr>
                      <w:t> </w:t>
                    </w:r>
                    <w:r>
                      <w:rPr>
                        <w:rFonts w:ascii="Arial MT" w:hAnsi="Arial MT"/>
                        <w:color w:val="3F3F3F"/>
                        <w:sz w:val="17"/>
                      </w:rPr>
                      <w:t>noter</w:t>
                    </w:r>
                    <w:r>
                      <w:rPr>
                        <w:rFonts w:ascii="Arial MT" w:hAnsi="Arial MT"/>
                        <w:color w:val="3F3F3F"/>
                        <w:spacing w:val="-5"/>
                        <w:sz w:val="17"/>
                      </w:rPr>
                      <w:t> </w:t>
                    </w:r>
                    <w:r>
                      <w:rPr>
                        <w:rFonts w:ascii="Arial MT" w:hAnsi="Arial MT"/>
                        <w:color w:val="3F3F3F"/>
                        <w:sz w:val="17"/>
                      </w:rPr>
                      <w:t>qu’il</w:t>
                    </w:r>
                    <w:r>
                      <w:rPr>
                        <w:rFonts w:ascii="Arial MT" w:hAnsi="Arial MT"/>
                        <w:color w:val="3F3F3F"/>
                        <w:spacing w:val="-6"/>
                        <w:sz w:val="17"/>
                      </w:rPr>
                      <w:t> </w:t>
                    </w:r>
                    <w:r>
                      <w:rPr>
                        <w:rFonts w:ascii="Arial MT" w:hAnsi="Arial MT"/>
                        <w:color w:val="3F3F3F"/>
                        <w:sz w:val="17"/>
                      </w:rPr>
                      <w:t>s’agit</w:t>
                    </w:r>
                    <w:r>
                      <w:rPr>
                        <w:rFonts w:ascii="Arial MT" w:hAnsi="Arial MT"/>
                        <w:color w:val="3F3F3F"/>
                        <w:spacing w:val="-5"/>
                        <w:sz w:val="17"/>
                      </w:rPr>
                      <w:t> </w:t>
                    </w:r>
                    <w:r>
                      <w:rPr>
                        <w:rFonts w:ascii="Arial MT" w:hAnsi="Arial MT"/>
                        <w:color w:val="3F3F3F"/>
                        <w:sz w:val="17"/>
                      </w:rPr>
                      <w:t>d’une</w:t>
                    </w:r>
                    <w:r>
                      <w:rPr>
                        <w:rFonts w:ascii="Arial MT" w:hAnsi="Arial MT"/>
                        <w:color w:val="3F3F3F"/>
                        <w:spacing w:val="-6"/>
                        <w:sz w:val="17"/>
                      </w:rPr>
                      <w:t> </w:t>
                    </w:r>
                    <w:r>
                      <w:rPr>
                        <w:rFonts w:ascii="Arial MT" w:hAnsi="Arial MT"/>
                        <w:color w:val="3F3F3F"/>
                        <w:sz w:val="17"/>
                      </w:rPr>
                      <w:t>traduction</w:t>
                    </w:r>
                    <w:r>
                      <w:rPr>
                        <w:rFonts w:ascii="Arial MT" w:hAnsi="Arial MT"/>
                        <w:color w:val="3F3F3F"/>
                        <w:spacing w:val="-5"/>
                        <w:sz w:val="17"/>
                      </w:rPr>
                      <w:t> </w:t>
                    </w:r>
                    <w:r>
                      <w:rPr>
                        <w:rFonts w:ascii="Arial MT" w:hAnsi="Arial MT"/>
                        <w:color w:val="3F3F3F"/>
                        <w:sz w:val="17"/>
                      </w:rPr>
                      <w:t>automatique</w:t>
                    </w:r>
                    <w:r>
                      <w:rPr>
                        <w:rFonts w:ascii="Arial MT" w:hAnsi="Arial MT"/>
                        <w:color w:val="3F3F3F"/>
                        <w:spacing w:val="-6"/>
                        <w:sz w:val="17"/>
                      </w:rPr>
                      <w:t> </w:t>
                    </w:r>
                    <w:r>
                      <w:rPr>
                        <w:rFonts w:ascii="Arial MT" w:hAnsi="Arial MT"/>
                        <w:color w:val="3F3F3F"/>
                        <w:sz w:val="17"/>
                      </w:rPr>
                      <w:t>fournie</w:t>
                    </w:r>
                    <w:r>
                      <w:rPr>
                        <w:rFonts w:ascii="Arial MT" w:hAnsi="Arial MT"/>
                        <w:color w:val="3F3F3F"/>
                        <w:spacing w:val="-5"/>
                        <w:sz w:val="17"/>
                      </w:rPr>
                      <w:t> </w:t>
                    </w:r>
                    <w:r>
                      <w:rPr>
                        <w:rFonts w:ascii="Arial MT" w:hAnsi="Arial MT"/>
                        <w:color w:val="3F3F3F"/>
                        <w:sz w:val="17"/>
                      </w:rPr>
                      <w:t>uniquement</w:t>
                    </w:r>
                    <w:r>
                      <w:rPr>
                        <w:rFonts w:ascii="Arial MT" w:hAnsi="Arial MT"/>
                        <w:color w:val="3F3F3F"/>
                        <w:spacing w:val="-6"/>
                        <w:sz w:val="17"/>
                      </w:rPr>
                      <w:t> </w:t>
                    </w:r>
                    <w:r>
                      <w:rPr>
                        <w:rFonts w:ascii="Arial MT" w:hAnsi="Arial MT"/>
                        <w:color w:val="3F3F3F"/>
                        <w:sz w:val="17"/>
                      </w:rPr>
                      <w:t>pour</w:t>
                    </w:r>
                    <w:r>
                      <w:rPr>
                        <w:rFonts w:ascii="Arial MT" w:hAnsi="Arial MT"/>
                        <w:color w:val="3F3F3F"/>
                        <w:spacing w:val="-5"/>
                        <w:sz w:val="17"/>
                      </w:rPr>
                      <w:t> </w:t>
                    </w:r>
                    <w:r>
                      <w:rPr>
                        <w:rFonts w:ascii="Arial MT" w:hAnsi="Arial MT"/>
                        <w:color w:val="3F3F3F"/>
                        <w:sz w:val="17"/>
                      </w:rPr>
                      <w:t>information.</w:t>
                    </w:r>
                    <w:r>
                      <w:rPr>
                        <w:rFonts w:ascii="Arial MT" w:hAnsi="Arial MT"/>
                        <w:color w:val="3F3F3F"/>
                        <w:spacing w:val="-6"/>
                        <w:sz w:val="17"/>
                      </w:rPr>
                      <w:t> </w:t>
                    </w:r>
                    <w:r>
                      <w:rPr>
                        <w:rFonts w:ascii="Arial MT" w:hAnsi="Arial MT"/>
                        <w:color w:val="3F3F3F"/>
                        <w:sz w:val="17"/>
                      </w:rPr>
                      <w:t>Il</w:t>
                    </w:r>
                    <w:r>
                      <w:rPr>
                        <w:rFonts w:ascii="Arial MT" w:hAnsi="Arial MT"/>
                        <w:color w:val="3F3F3F"/>
                        <w:spacing w:val="-5"/>
                        <w:sz w:val="17"/>
                      </w:rPr>
                      <w:t> </w:t>
                    </w:r>
                    <w:r>
                      <w:rPr>
                        <w:rFonts w:ascii="Arial MT" w:hAnsi="Arial MT"/>
                        <w:color w:val="3F3F3F"/>
                        <w:sz w:val="17"/>
                      </w:rPr>
                      <w:t>ne</w:t>
                    </w:r>
                    <w:r>
                      <w:rPr>
                        <w:rFonts w:ascii="Arial MT" w:hAnsi="Arial MT"/>
                        <w:color w:val="3F3F3F"/>
                        <w:spacing w:val="-6"/>
                        <w:sz w:val="17"/>
                      </w:rPr>
                      <w:t> </w:t>
                    </w:r>
                    <w:r>
                      <w:rPr>
                        <w:rFonts w:ascii="Arial MT" w:hAnsi="Arial MT"/>
                        <w:color w:val="3F3F3F"/>
                        <w:sz w:val="17"/>
                      </w:rPr>
                      <w:t>peut</w:t>
                    </w:r>
                    <w:r>
                      <w:rPr>
                        <w:rFonts w:ascii="Arial MT" w:hAnsi="Arial MT"/>
                        <w:color w:val="3F3F3F"/>
                        <w:spacing w:val="-5"/>
                        <w:sz w:val="17"/>
                      </w:rPr>
                      <w:t> </w:t>
                    </w:r>
                    <w:r>
                      <w:rPr>
                        <w:rFonts w:ascii="Arial MT" w:hAnsi="Arial MT"/>
                        <w:color w:val="3F3F3F"/>
                        <w:sz w:val="17"/>
                      </w:rPr>
                      <w:t>être</w:t>
                    </w:r>
                    <w:r>
                      <w:rPr>
                        <w:rFonts w:ascii="Arial MT" w:hAnsi="Arial MT"/>
                        <w:color w:val="3F3F3F"/>
                        <w:spacing w:val="-6"/>
                        <w:sz w:val="17"/>
                      </w:rPr>
                      <w:t> </w:t>
                    </w:r>
                    <w:r>
                      <w:rPr>
                        <w:rFonts w:ascii="Arial MT" w:hAnsi="Arial MT"/>
                        <w:color w:val="3F3F3F"/>
                        <w:sz w:val="17"/>
                      </w:rPr>
                      <w:t>garanti</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exacte</w:t>
                    </w:r>
                    <w:r>
                      <w:rPr>
                        <w:rFonts w:ascii="Arial MT" w:hAnsi="Arial MT"/>
                        <w:color w:val="3F3F3F"/>
                        <w:spacing w:val="-6"/>
                        <w:sz w:val="17"/>
                      </w:rPr>
                      <w:t> </w:t>
                    </w:r>
                    <w:r>
                      <w:rPr>
                        <w:rFonts w:ascii="Arial MT" w:hAnsi="Arial MT"/>
                        <w:color w:val="3F3F3F"/>
                        <w:sz w:val="17"/>
                      </w:rPr>
                      <w:t>ou</w:t>
                    </w:r>
                    <w:r>
                      <w:rPr>
                        <w:rFonts w:ascii="Arial MT" w:hAnsi="Arial MT"/>
                        <w:color w:val="3F3F3F"/>
                        <w:spacing w:val="-5"/>
                        <w:sz w:val="17"/>
                      </w:rPr>
                      <w:t> </w:t>
                    </w:r>
                    <w:r>
                      <w:rPr>
                        <w:rFonts w:ascii="Arial MT" w:hAnsi="Arial MT"/>
                        <w:color w:val="3F3F3F"/>
                        <w:sz w:val="17"/>
                      </w:rPr>
                      <w:t>qu’elle</w:t>
                    </w:r>
                    <w:r>
                      <w:rPr>
                        <w:rFonts w:ascii="Arial MT" w:hAnsi="Arial MT"/>
                        <w:color w:val="3F3F3F"/>
                        <w:spacing w:val="-6"/>
                        <w:sz w:val="17"/>
                      </w:rPr>
                      <w:t> </w:t>
                    </w:r>
                    <w:r>
                      <w:rPr>
                        <w:rFonts w:ascii="Arial MT" w:hAnsi="Arial MT"/>
                        <w:color w:val="3F3F3F"/>
                        <w:sz w:val="17"/>
                      </w:rPr>
                      <w:t>est</w:t>
                    </w:r>
                    <w:r>
                      <w:rPr>
                        <w:rFonts w:ascii="Arial MT" w:hAnsi="Arial MT"/>
                        <w:color w:val="3F3F3F"/>
                        <w:spacing w:val="-5"/>
                        <w:sz w:val="17"/>
                      </w:rPr>
                      <w:t> </w:t>
                    </w:r>
                    <w:r>
                      <w:rPr>
                        <w:rFonts w:ascii="Arial MT" w:hAnsi="Arial MT"/>
                        <w:color w:val="3F3F3F"/>
                        <w:sz w:val="17"/>
                      </w:rPr>
                      <w:t>adaptée</w:t>
                    </w:r>
                    <w:r>
                      <w:rPr>
                        <w:rFonts w:ascii="Arial MT" w:hAnsi="Arial MT"/>
                        <w:color w:val="3F3F3F"/>
                        <w:spacing w:val="-6"/>
                        <w:sz w:val="17"/>
                      </w:rPr>
                      <w:t> </w:t>
                    </w:r>
                    <w:r>
                      <w:rPr>
                        <w:rFonts w:ascii="Arial MT" w:hAnsi="Arial MT"/>
                        <w:color w:val="3F3F3F"/>
                        <w:sz w:val="17"/>
                      </w:rPr>
                      <w:t>aux</w:t>
                    </w:r>
                    <w:r>
                      <w:rPr>
                        <w:rFonts w:ascii="Arial MT" w:hAnsi="Arial MT"/>
                        <w:color w:val="3F3F3F"/>
                        <w:spacing w:val="-5"/>
                        <w:sz w:val="17"/>
                      </w:rPr>
                      <w:t> </w:t>
                    </w:r>
                    <w:r>
                      <w:rPr>
                        <w:rFonts w:ascii="Arial MT" w:hAnsi="Arial MT"/>
                        <w:color w:val="3F3F3F"/>
                        <w:sz w:val="17"/>
                      </w:rPr>
                      <w:t>objectifs</w:t>
                    </w:r>
                    <w:r>
                      <w:rPr>
                        <w:rFonts w:ascii="Arial MT" w:hAnsi="Arial MT"/>
                        <w:color w:val="3F3F3F"/>
                        <w:spacing w:val="-6"/>
                        <w:sz w:val="17"/>
                      </w:rPr>
                      <w:t> </w:t>
                    </w:r>
                    <w:r>
                      <w:rPr>
                        <w:rFonts w:ascii="Arial MT" w:hAnsi="Arial MT"/>
                        <w:color w:val="3F3F3F"/>
                        <w:sz w:val="17"/>
                      </w:rPr>
                      <w:t>poursuivis.</w:t>
                    </w:r>
                    <w:r>
                      <w:rPr>
                        <w:rFonts w:ascii="Arial MT" w:hAnsi="Arial MT"/>
                        <w:color w:val="3F3F3F"/>
                        <w:spacing w:val="-5"/>
                        <w:sz w:val="17"/>
                      </w:rPr>
                      <w:t> </w:t>
                    </w:r>
                    <w:r>
                      <w:rPr>
                        <w:rFonts w:ascii="Arial MT" w:hAnsi="Arial MT"/>
                        <w:color w:val="3F3F3F"/>
                        <w:sz w:val="17"/>
                      </w:rPr>
                      <w:t>[27-03-</w:t>
                    </w:r>
                    <w:r>
                      <w:rPr>
                        <w:rFonts w:ascii="Arial MT" w:hAnsi="Arial MT"/>
                        <w:color w:val="3F3F3F"/>
                        <w:spacing w:val="-2"/>
                        <w:sz w:val="17"/>
                      </w:rPr>
                      <w:t>2025]</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055360">
              <wp:simplePos x="0" y="0"/>
              <wp:positionH relativeFrom="page">
                <wp:posOffset>3679571</wp:posOffset>
              </wp:positionH>
              <wp:positionV relativeFrom="page">
                <wp:posOffset>603053</wp:posOffset>
              </wp:positionV>
              <wp:extent cx="217170" cy="165735"/>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217170" cy="165735"/>
                      </a:xfrm>
                      <a:prstGeom prst="rect">
                        <a:avLst/>
                      </a:prstGeom>
                    </wps:spPr>
                    <wps:txbx>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31</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289.730011pt;margin-top:47.484493pt;width:17.1pt;height:13.05pt;mso-position-horizontal-relative:page;mso-position-vertical-relative:page;z-index:-16261120" type="#_x0000_t202" id="docshape44" filled="false" stroked="false">
              <v:textbox inset="0,0,0,0">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31</w:t>
                    </w:r>
                    <w:r>
                      <w:rPr>
                        <w:spacing w:val="-5"/>
                        <w:sz w:val="20"/>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decimal"/>
      <w:lvlText w:val="%1."/>
      <w:lvlJc w:val="left"/>
      <w:pPr>
        <w:ind w:left="875" w:hanging="428"/>
        <w:jc w:val="left"/>
      </w:pPr>
      <w:rPr>
        <w:rFonts w:hint="default" w:ascii="Times New Roman" w:hAnsi="Times New Roman" w:eastAsia="Times New Roman" w:cs="Times New Roman"/>
        <w:b/>
        <w:bCs/>
        <w:i w:val="0"/>
        <w:iCs w:val="0"/>
        <w:spacing w:val="0"/>
        <w:w w:val="100"/>
        <w:sz w:val="24"/>
        <w:szCs w:val="24"/>
        <w:lang w:val="fr-FR" w:eastAsia="en-US" w:bidi="ar-SA"/>
      </w:rPr>
    </w:lvl>
    <w:lvl w:ilvl="1">
      <w:start w:val="0"/>
      <w:numFmt w:val="bullet"/>
      <w:lvlText w:val="•"/>
      <w:lvlJc w:val="left"/>
      <w:pPr>
        <w:ind w:left="1699" w:hanging="428"/>
      </w:pPr>
      <w:rPr>
        <w:rFonts w:hint="default"/>
        <w:lang w:val="fr-FR" w:eastAsia="en-US" w:bidi="ar-SA"/>
      </w:rPr>
    </w:lvl>
    <w:lvl w:ilvl="2">
      <w:start w:val="0"/>
      <w:numFmt w:val="bullet"/>
      <w:lvlText w:val="•"/>
      <w:lvlJc w:val="left"/>
      <w:pPr>
        <w:ind w:left="2518" w:hanging="428"/>
      </w:pPr>
      <w:rPr>
        <w:rFonts w:hint="default"/>
        <w:lang w:val="fr-FR" w:eastAsia="en-US" w:bidi="ar-SA"/>
      </w:rPr>
    </w:lvl>
    <w:lvl w:ilvl="3">
      <w:start w:val="0"/>
      <w:numFmt w:val="bullet"/>
      <w:lvlText w:val="•"/>
      <w:lvlJc w:val="left"/>
      <w:pPr>
        <w:ind w:left="3337" w:hanging="428"/>
      </w:pPr>
      <w:rPr>
        <w:rFonts w:hint="default"/>
        <w:lang w:val="fr-FR" w:eastAsia="en-US" w:bidi="ar-SA"/>
      </w:rPr>
    </w:lvl>
    <w:lvl w:ilvl="4">
      <w:start w:val="0"/>
      <w:numFmt w:val="bullet"/>
      <w:lvlText w:val="•"/>
      <w:lvlJc w:val="left"/>
      <w:pPr>
        <w:ind w:left="4156" w:hanging="428"/>
      </w:pPr>
      <w:rPr>
        <w:rFonts w:hint="default"/>
        <w:lang w:val="fr-FR" w:eastAsia="en-US" w:bidi="ar-SA"/>
      </w:rPr>
    </w:lvl>
    <w:lvl w:ilvl="5">
      <w:start w:val="0"/>
      <w:numFmt w:val="bullet"/>
      <w:lvlText w:val="•"/>
      <w:lvlJc w:val="left"/>
      <w:pPr>
        <w:ind w:left="4976" w:hanging="428"/>
      </w:pPr>
      <w:rPr>
        <w:rFonts w:hint="default"/>
        <w:lang w:val="fr-FR" w:eastAsia="en-US" w:bidi="ar-SA"/>
      </w:rPr>
    </w:lvl>
    <w:lvl w:ilvl="6">
      <w:start w:val="0"/>
      <w:numFmt w:val="bullet"/>
      <w:lvlText w:val="•"/>
      <w:lvlJc w:val="left"/>
      <w:pPr>
        <w:ind w:left="5795" w:hanging="428"/>
      </w:pPr>
      <w:rPr>
        <w:rFonts w:hint="default"/>
        <w:lang w:val="fr-FR" w:eastAsia="en-US" w:bidi="ar-SA"/>
      </w:rPr>
    </w:lvl>
    <w:lvl w:ilvl="7">
      <w:start w:val="0"/>
      <w:numFmt w:val="bullet"/>
      <w:lvlText w:val="•"/>
      <w:lvlJc w:val="left"/>
      <w:pPr>
        <w:ind w:left="6614" w:hanging="428"/>
      </w:pPr>
      <w:rPr>
        <w:rFonts w:hint="default"/>
        <w:lang w:val="fr-FR" w:eastAsia="en-US" w:bidi="ar-SA"/>
      </w:rPr>
    </w:lvl>
    <w:lvl w:ilvl="8">
      <w:start w:val="0"/>
      <w:numFmt w:val="bullet"/>
      <w:lvlText w:val="•"/>
      <w:lvlJc w:val="left"/>
      <w:pPr>
        <w:ind w:left="7433" w:hanging="428"/>
      </w:pPr>
      <w:rPr>
        <w:rFonts w:hint="default"/>
        <w:lang w:val="fr-FR" w:eastAsia="en-US" w:bidi="ar-SA"/>
      </w:rPr>
    </w:lvl>
  </w:abstractNum>
  <w:abstractNum w:abstractNumId="4">
    <w:multiLevelType w:val="hybridMultilevel"/>
    <w:lvl w:ilvl="0">
      <w:start w:val="0"/>
      <w:numFmt w:val="bullet"/>
      <w:lvlText w:val=""/>
      <w:lvlJc w:val="left"/>
      <w:pPr>
        <w:ind w:left="1017" w:hanging="428"/>
      </w:pPr>
      <w:rPr>
        <w:rFonts w:hint="default" w:ascii="Symbol" w:hAnsi="Symbol" w:eastAsia="Symbol" w:cs="Symbol"/>
        <w:b w:val="0"/>
        <w:bCs w:val="0"/>
        <w:i w:val="0"/>
        <w:iCs w:val="0"/>
        <w:spacing w:val="0"/>
        <w:w w:val="100"/>
        <w:sz w:val="24"/>
        <w:szCs w:val="24"/>
        <w:lang w:val="fr-FR" w:eastAsia="en-US" w:bidi="ar-SA"/>
      </w:rPr>
    </w:lvl>
    <w:lvl w:ilvl="1">
      <w:start w:val="0"/>
      <w:numFmt w:val="bullet"/>
      <w:lvlText w:val="•"/>
      <w:lvlJc w:val="left"/>
      <w:pPr>
        <w:ind w:left="1853" w:hanging="428"/>
      </w:pPr>
      <w:rPr>
        <w:rFonts w:hint="default"/>
        <w:lang w:val="fr-FR" w:eastAsia="en-US" w:bidi="ar-SA"/>
      </w:rPr>
    </w:lvl>
    <w:lvl w:ilvl="2">
      <w:start w:val="0"/>
      <w:numFmt w:val="bullet"/>
      <w:lvlText w:val="•"/>
      <w:lvlJc w:val="left"/>
      <w:pPr>
        <w:ind w:left="2687" w:hanging="428"/>
      </w:pPr>
      <w:rPr>
        <w:rFonts w:hint="default"/>
        <w:lang w:val="fr-FR" w:eastAsia="en-US" w:bidi="ar-SA"/>
      </w:rPr>
    </w:lvl>
    <w:lvl w:ilvl="3">
      <w:start w:val="0"/>
      <w:numFmt w:val="bullet"/>
      <w:lvlText w:val="•"/>
      <w:lvlJc w:val="left"/>
      <w:pPr>
        <w:ind w:left="3520" w:hanging="428"/>
      </w:pPr>
      <w:rPr>
        <w:rFonts w:hint="default"/>
        <w:lang w:val="fr-FR" w:eastAsia="en-US" w:bidi="ar-SA"/>
      </w:rPr>
    </w:lvl>
    <w:lvl w:ilvl="4">
      <w:start w:val="0"/>
      <w:numFmt w:val="bullet"/>
      <w:lvlText w:val="•"/>
      <w:lvlJc w:val="left"/>
      <w:pPr>
        <w:ind w:left="4354" w:hanging="428"/>
      </w:pPr>
      <w:rPr>
        <w:rFonts w:hint="default"/>
        <w:lang w:val="fr-FR" w:eastAsia="en-US" w:bidi="ar-SA"/>
      </w:rPr>
    </w:lvl>
    <w:lvl w:ilvl="5">
      <w:start w:val="0"/>
      <w:numFmt w:val="bullet"/>
      <w:lvlText w:val="•"/>
      <w:lvlJc w:val="left"/>
      <w:pPr>
        <w:ind w:left="5188" w:hanging="428"/>
      </w:pPr>
      <w:rPr>
        <w:rFonts w:hint="default"/>
        <w:lang w:val="fr-FR" w:eastAsia="en-US" w:bidi="ar-SA"/>
      </w:rPr>
    </w:lvl>
    <w:lvl w:ilvl="6">
      <w:start w:val="0"/>
      <w:numFmt w:val="bullet"/>
      <w:lvlText w:val="•"/>
      <w:lvlJc w:val="left"/>
      <w:pPr>
        <w:ind w:left="6021" w:hanging="428"/>
      </w:pPr>
      <w:rPr>
        <w:rFonts w:hint="default"/>
        <w:lang w:val="fr-FR" w:eastAsia="en-US" w:bidi="ar-SA"/>
      </w:rPr>
    </w:lvl>
    <w:lvl w:ilvl="7">
      <w:start w:val="0"/>
      <w:numFmt w:val="bullet"/>
      <w:lvlText w:val="•"/>
      <w:lvlJc w:val="left"/>
      <w:pPr>
        <w:ind w:left="6855" w:hanging="428"/>
      </w:pPr>
      <w:rPr>
        <w:rFonts w:hint="default"/>
        <w:lang w:val="fr-FR" w:eastAsia="en-US" w:bidi="ar-SA"/>
      </w:rPr>
    </w:lvl>
    <w:lvl w:ilvl="8">
      <w:start w:val="0"/>
      <w:numFmt w:val="bullet"/>
      <w:lvlText w:val="•"/>
      <w:lvlJc w:val="left"/>
      <w:pPr>
        <w:ind w:left="7689" w:hanging="428"/>
      </w:pPr>
      <w:rPr>
        <w:rFonts w:hint="default"/>
        <w:lang w:val="fr-FR" w:eastAsia="en-US" w:bidi="ar-SA"/>
      </w:rPr>
    </w:lvl>
  </w:abstractNum>
  <w:abstractNum w:abstractNumId="3">
    <w:multiLevelType w:val="hybridMultilevel"/>
    <w:lvl w:ilvl="0">
      <w:start w:val="0"/>
      <w:numFmt w:val="bullet"/>
      <w:lvlText w:val=""/>
      <w:lvlJc w:val="left"/>
      <w:pPr>
        <w:ind w:left="1017" w:hanging="428"/>
      </w:pPr>
      <w:rPr>
        <w:rFonts w:hint="default" w:ascii="Symbol" w:hAnsi="Symbol" w:eastAsia="Symbol" w:cs="Symbol"/>
        <w:b w:val="0"/>
        <w:bCs w:val="0"/>
        <w:i w:val="0"/>
        <w:iCs w:val="0"/>
        <w:spacing w:val="0"/>
        <w:w w:val="100"/>
        <w:sz w:val="24"/>
        <w:szCs w:val="24"/>
        <w:lang w:val="fr-FR" w:eastAsia="en-US" w:bidi="ar-SA"/>
      </w:rPr>
    </w:lvl>
    <w:lvl w:ilvl="1">
      <w:start w:val="0"/>
      <w:numFmt w:val="bullet"/>
      <w:lvlText w:val="•"/>
      <w:lvlJc w:val="left"/>
      <w:pPr>
        <w:ind w:left="1853" w:hanging="428"/>
      </w:pPr>
      <w:rPr>
        <w:rFonts w:hint="default"/>
        <w:lang w:val="fr-FR" w:eastAsia="en-US" w:bidi="ar-SA"/>
      </w:rPr>
    </w:lvl>
    <w:lvl w:ilvl="2">
      <w:start w:val="0"/>
      <w:numFmt w:val="bullet"/>
      <w:lvlText w:val="•"/>
      <w:lvlJc w:val="left"/>
      <w:pPr>
        <w:ind w:left="2687" w:hanging="428"/>
      </w:pPr>
      <w:rPr>
        <w:rFonts w:hint="default"/>
        <w:lang w:val="fr-FR" w:eastAsia="en-US" w:bidi="ar-SA"/>
      </w:rPr>
    </w:lvl>
    <w:lvl w:ilvl="3">
      <w:start w:val="0"/>
      <w:numFmt w:val="bullet"/>
      <w:lvlText w:val="•"/>
      <w:lvlJc w:val="left"/>
      <w:pPr>
        <w:ind w:left="3520" w:hanging="428"/>
      </w:pPr>
      <w:rPr>
        <w:rFonts w:hint="default"/>
        <w:lang w:val="fr-FR" w:eastAsia="en-US" w:bidi="ar-SA"/>
      </w:rPr>
    </w:lvl>
    <w:lvl w:ilvl="4">
      <w:start w:val="0"/>
      <w:numFmt w:val="bullet"/>
      <w:lvlText w:val="•"/>
      <w:lvlJc w:val="left"/>
      <w:pPr>
        <w:ind w:left="4354" w:hanging="428"/>
      </w:pPr>
      <w:rPr>
        <w:rFonts w:hint="default"/>
        <w:lang w:val="fr-FR" w:eastAsia="en-US" w:bidi="ar-SA"/>
      </w:rPr>
    </w:lvl>
    <w:lvl w:ilvl="5">
      <w:start w:val="0"/>
      <w:numFmt w:val="bullet"/>
      <w:lvlText w:val="•"/>
      <w:lvlJc w:val="left"/>
      <w:pPr>
        <w:ind w:left="5188" w:hanging="428"/>
      </w:pPr>
      <w:rPr>
        <w:rFonts w:hint="default"/>
        <w:lang w:val="fr-FR" w:eastAsia="en-US" w:bidi="ar-SA"/>
      </w:rPr>
    </w:lvl>
    <w:lvl w:ilvl="6">
      <w:start w:val="0"/>
      <w:numFmt w:val="bullet"/>
      <w:lvlText w:val="•"/>
      <w:lvlJc w:val="left"/>
      <w:pPr>
        <w:ind w:left="6021" w:hanging="428"/>
      </w:pPr>
      <w:rPr>
        <w:rFonts w:hint="default"/>
        <w:lang w:val="fr-FR" w:eastAsia="en-US" w:bidi="ar-SA"/>
      </w:rPr>
    </w:lvl>
    <w:lvl w:ilvl="7">
      <w:start w:val="0"/>
      <w:numFmt w:val="bullet"/>
      <w:lvlText w:val="•"/>
      <w:lvlJc w:val="left"/>
      <w:pPr>
        <w:ind w:left="6855" w:hanging="428"/>
      </w:pPr>
      <w:rPr>
        <w:rFonts w:hint="default"/>
        <w:lang w:val="fr-FR" w:eastAsia="en-US" w:bidi="ar-SA"/>
      </w:rPr>
    </w:lvl>
    <w:lvl w:ilvl="8">
      <w:start w:val="0"/>
      <w:numFmt w:val="bullet"/>
      <w:lvlText w:val="•"/>
      <w:lvlJc w:val="left"/>
      <w:pPr>
        <w:ind w:left="7689" w:hanging="428"/>
      </w:pPr>
      <w:rPr>
        <w:rFonts w:hint="default"/>
        <w:lang w:val="fr-FR" w:eastAsia="en-US" w:bidi="ar-SA"/>
      </w:rPr>
    </w:lvl>
  </w:abstractNum>
  <w:abstractNum w:abstractNumId="2">
    <w:multiLevelType w:val="hybridMultilevel"/>
    <w:lvl w:ilvl="0">
      <w:start w:val="0"/>
      <w:numFmt w:val="bullet"/>
      <w:lvlText w:val=""/>
      <w:lvlJc w:val="left"/>
      <w:pPr>
        <w:ind w:left="1017" w:hanging="428"/>
      </w:pPr>
      <w:rPr>
        <w:rFonts w:hint="default" w:ascii="Symbol" w:hAnsi="Symbol" w:eastAsia="Symbol" w:cs="Symbol"/>
        <w:b w:val="0"/>
        <w:bCs w:val="0"/>
        <w:i w:val="0"/>
        <w:iCs w:val="0"/>
        <w:spacing w:val="0"/>
        <w:w w:val="100"/>
        <w:sz w:val="24"/>
        <w:szCs w:val="24"/>
        <w:lang w:val="fr-FR" w:eastAsia="en-US" w:bidi="ar-SA"/>
      </w:rPr>
    </w:lvl>
    <w:lvl w:ilvl="1">
      <w:start w:val="0"/>
      <w:numFmt w:val="bullet"/>
      <w:lvlText w:val="•"/>
      <w:lvlJc w:val="left"/>
      <w:pPr>
        <w:ind w:left="1853" w:hanging="428"/>
      </w:pPr>
      <w:rPr>
        <w:rFonts w:hint="default"/>
        <w:lang w:val="fr-FR" w:eastAsia="en-US" w:bidi="ar-SA"/>
      </w:rPr>
    </w:lvl>
    <w:lvl w:ilvl="2">
      <w:start w:val="0"/>
      <w:numFmt w:val="bullet"/>
      <w:lvlText w:val="•"/>
      <w:lvlJc w:val="left"/>
      <w:pPr>
        <w:ind w:left="2687" w:hanging="428"/>
      </w:pPr>
      <w:rPr>
        <w:rFonts w:hint="default"/>
        <w:lang w:val="fr-FR" w:eastAsia="en-US" w:bidi="ar-SA"/>
      </w:rPr>
    </w:lvl>
    <w:lvl w:ilvl="3">
      <w:start w:val="0"/>
      <w:numFmt w:val="bullet"/>
      <w:lvlText w:val="•"/>
      <w:lvlJc w:val="left"/>
      <w:pPr>
        <w:ind w:left="3520" w:hanging="428"/>
      </w:pPr>
      <w:rPr>
        <w:rFonts w:hint="default"/>
        <w:lang w:val="fr-FR" w:eastAsia="en-US" w:bidi="ar-SA"/>
      </w:rPr>
    </w:lvl>
    <w:lvl w:ilvl="4">
      <w:start w:val="0"/>
      <w:numFmt w:val="bullet"/>
      <w:lvlText w:val="•"/>
      <w:lvlJc w:val="left"/>
      <w:pPr>
        <w:ind w:left="4354" w:hanging="428"/>
      </w:pPr>
      <w:rPr>
        <w:rFonts w:hint="default"/>
        <w:lang w:val="fr-FR" w:eastAsia="en-US" w:bidi="ar-SA"/>
      </w:rPr>
    </w:lvl>
    <w:lvl w:ilvl="5">
      <w:start w:val="0"/>
      <w:numFmt w:val="bullet"/>
      <w:lvlText w:val="•"/>
      <w:lvlJc w:val="left"/>
      <w:pPr>
        <w:ind w:left="5188" w:hanging="428"/>
      </w:pPr>
      <w:rPr>
        <w:rFonts w:hint="default"/>
        <w:lang w:val="fr-FR" w:eastAsia="en-US" w:bidi="ar-SA"/>
      </w:rPr>
    </w:lvl>
    <w:lvl w:ilvl="6">
      <w:start w:val="0"/>
      <w:numFmt w:val="bullet"/>
      <w:lvlText w:val="•"/>
      <w:lvlJc w:val="left"/>
      <w:pPr>
        <w:ind w:left="6021" w:hanging="428"/>
      </w:pPr>
      <w:rPr>
        <w:rFonts w:hint="default"/>
        <w:lang w:val="fr-FR" w:eastAsia="en-US" w:bidi="ar-SA"/>
      </w:rPr>
    </w:lvl>
    <w:lvl w:ilvl="7">
      <w:start w:val="0"/>
      <w:numFmt w:val="bullet"/>
      <w:lvlText w:val="•"/>
      <w:lvlJc w:val="left"/>
      <w:pPr>
        <w:ind w:left="6855" w:hanging="428"/>
      </w:pPr>
      <w:rPr>
        <w:rFonts w:hint="default"/>
        <w:lang w:val="fr-FR" w:eastAsia="en-US" w:bidi="ar-SA"/>
      </w:rPr>
    </w:lvl>
    <w:lvl w:ilvl="8">
      <w:start w:val="0"/>
      <w:numFmt w:val="bullet"/>
      <w:lvlText w:val="•"/>
      <w:lvlJc w:val="left"/>
      <w:pPr>
        <w:ind w:left="7689" w:hanging="428"/>
      </w:pPr>
      <w:rPr>
        <w:rFonts w:hint="default"/>
        <w:lang w:val="fr-FR" w:eastAsia="en-US" w:bidi="ar-SA"/>
      </w:rPr>
    </w:lvl>
  </w:abstractNum>
  <w:abstractNum w:abstractNumId="1">
    <w:multiLevelType w:val="hybridMultilevel"/>
    <w:lvl w:ilvl="0">
      <w:start w:val="0"/>
      <w:numFmt w:val="bullet"/>
      <w:lvlText w:val=""/>
      <w:lvlJc w:val="left"/>
      <w:pPr>
        <w:ind w:left="1017" w:hanging="428"/>
      </w:pPr>
      <w:rPr>
        <w:rFonts w:hint="default" w:ascii="Symbol" w:hAnsi="Symbol" w:eastAsia="Symbol" w:cs="Symbol"/>
        <w:b w:val="0"/>
        <w:bCs w:val="0"/>
        <w:i w:val="0"/>
        <w:iCs w:val="0"/>
        <w:spacing w:val="0"/>
        <w:w w:val="100"/>
        <w:sz w:val="24"/>
        <w:szCs w:val="24"/>
        <w:lang w:val="fr-FR" w:eastAsia="en-US" w:bidi="ar-SA"/>
      </w:rPr>
    </w:lvl>
    <w:lvl w:ilvl="1">
      <w:start w:val="0"/>
      <w:numFmt w:val="bullet"/>
      <w:lvlText w:val=""/>
      <w:lvlJc w:val="left"/>
      <w:pPr>
        <w:ind w:left="1442" w:hanging="425"/>
      </w:pPr>
      <w:rPr>
        <w:rFonts w:hint="default" w:ascii="Symbol" w:hAnsi="Symbol" w:eastAsia="Symbol" w:cs="Symbol"/>
        <w:b w:val="0"/>
        <w:bCs w:val="0"/>
        <w:i w:val="0"/>
        <w:iCs w:val="0"/>
        <w:spacing w:val="0"/>
        <w:w w:val="100"/>
        <w:sz w:val="24"/>
        <w:szCs w:val="24"/>
        <w:lang w:val="fr-FR" w:eastAsia="en-US" w:bidi="ar-SA"/>
      </w:rPr>
    </w:lvl>
    <w:lvl w:ilvl="2">
      <w:start w:val="0"/>
      <w:numFmt w:val="bullet"/>
      <w:lvlText w:val="•"/>
      <w:lvlJc w:val="left"/>
      <w:pPr>
        <w:ind w:left="2319" w:hanging="425"/>
      </w:pPr>
      <w:rPr>
        <w:rFonts w:hint="default"/>
        <w:lang w:val="fr-FR" w:eastAsia="en-US" w:bidi="ar-SA"/>
      </w:rPr>
    </w:lvl>
    <w:lvl w:ilvl="3">
      <w:start w:val="0"/>
      <w:numFmt w:val="bullet"/>
      <w:lvlText w:val="•"/>
      <w:lvlJc w:val="left"/>
      <w:pPr>
        <w:ind w:left="3199" w:hanging="425"/>
      </w:pPr>
      <w:rPr>
        <w:rFonts w:hint="default"/>
        <w:lang w:val="fr-FR" w:eastAsia="en-US" w:bidi="ar-SA"/>
      </w:rPr>
    </w:lvl>
    <w:lvl w:ilvl="4">
      <w:start w:val="0"/>
      <w:numFmt w:val="bullet"/>
      <w:lvlText w:val="•"/>
      <w:lvlJc w:val="left"/>
      <w:pPr>
        <w:ind w:left="4078" w:hanging="425"/>
      </w:pPr>
      <w:rPr>
        <w:rFonts w:hint="default"/>
        <w:lang w:val="fr-FR" w:eastAsia="en-US" w:bidi="ar-SA"/>
      </w:rPr>
    </w:lvl>
    <w:lvl w:ilvl="5">
      <w:start w:val="0"/>
      <w:numFmt w:val="bullet"/>
      <w:lvlText w:val="•"/>
      <w:lvlJc w:val="left"/>
      <w:pPr>
        <w:ind w:left="4958" w:hanging="425"/>
      </w:pPr>
      <w:rPr>
        <w:rFonts w:hint="default"/>
        <w:lang w:val="fr-FR" w:eastAsia="en-US" w:bidi="ar-SA"/>
      </w:rPr>
    </w:lvl>
    <w:lvl w:ilvl="6">
      <w:start w:val="0"/>
      <w:numFmt w:val="bullet"/>
      <w:lvlText w:val="•"/>
      <w:lvlJc w:val="left"/>
      <w:pPr>
        <w:ind w:left="5838" w:hanging="425"/>
      </w:pPr>
      <w:rPr>
        <w:rFonts w:hint="default"/>
        <w:lang w:val="fr-FR" w:eastAsia="en-US" w:bidi="ar-SA"/>
      </w:rPr>
    </w:lvl>
    <w:lvl w:ilvl="7">
      <w:start w:val="0"/>
      <w:numFmt w:val="bullet"/>
      <w:lvlText w:val="•"/>
      <w:lvlJc w:val="left"/>
      <w:pPr>
        <w:ind w:left="6717" w:hanging="425"/>
      </w:pPr>
      <w:rPr>
        <w:rFonts w:hint="default"/>
        <w:lang w:val="fr-FR" w:eastAsia="en-US" w:bidi="ar-SA"/>
      </w:rPr>
    </w:lvl>
    <w:lvl w:ilvl="8">
      <w:start w:val="0"/>
      <w:numFmt w:val="bullet"/>
      <w:lvlText w:val="•"/>
      <w:lvlJc w:val="left"/>
      <w:pPr>
        <w:ind w:left="7597" w:hanging="425"/>
      </w:pPr>
      <w:rPr>
        <w:rFonts w:hint="default"/>
        <w:lang w:val="fr-FR" w:eastAsia="en-US" w:bidi="ar-SA"/>
      </w:rPr>
    </w:lvl>
  </w:abstractNum>
  <w:abstractNum w:abstractNumId="0">
    <w:multiLevelType w:val="hybridMultilevel"/>
    <w:lvl w:ilvl="0">
      <w:start w:val="1"/>
      <w:numFmt w:val="decimal"/>
      <w:lvlText w:val="%1"/>
      <w:lvlJc w:val="left"/>
      <w:pPr>
        <w:ind w:left="590" w:hanging="425"/>
        <w:jc w:val="right"/>
      </w:pPr>
      <w:rPr>
        <w:rFonts w:hint="default" w:ascii="Times New Roman" w:hAnsi="Times New Roman" w:eastAsia="Times New Roman" w:cs="Times New Roman"/>
        <w:b w:val="0"/>
        <w:bCs w:val="0"/>
        <w:i w:val="0"/>
        <w:iCs w:val="0"/>
        <w:spacing w:val="0"/>
        <w:w w:val="100"/>
        <w:sz w:val="24"/>
        <w:szCs w:val="24"/>
        <w:lang w:val="fr-FR" w:eastAsia="en-US" w:bidi="ar-SA"/>
      </w:rPr>
    </w:lvl>
    <w:lvl w:ilvl="1">
      <w:start w:val="1"/>
      <w:numFmt w:val="lowerLetter"/>
      <w:lvlText w:val="%2)"/>
      <w:lvlJc w:val="left"/>
      <w:pPr>
        <w:ind w:left="950" w:hanging="360"/>
        <w:jc w:val="left"/>
      </w:pPr>
      <w:rPr>
        <w:rFonts w:hint="default" w:ascii="Times New Roman" w:hAnsi="Times New Roman" w:eastAsia="Times New Roman" w:cs="Times New Roman"/>
        <w:b w:val="0"/>
        <w:bCs w:val="0"/>
        <w:i w:val="0"/>
        <w:iCs w:val="0"/>
        <w:spacing w:val="-1"/>
        <w:w w:val="100"/>
        <w:sz w:val="24"/>
        <w:szCs w:val="24"/>
        <w:lang w:val="fr-FR" w:eastAsia="en-US" w:bidi="ar-SA"/>
      </w:rPr>
    </w:lvl>
    <w:lvl w:ilvl="2">
      <w:start w:val="0"/>
      <w:numFmt w:val="bullet"/>
      <w:lvlText w:val="•"/>
      <w:lvlJc w:val="left"/>
      <w:pPr>
        <w:ind w:left="1892" w:hanging="360"/>
      </w:pPr>
      <w:rPr>
        <w:rFonts w:hint="default"/>
        <w:lang w:val="fr-FR" w:eastAsia="en-US" w:bidi="ar-SA"/>
      </w:rPr>
    </w:lvl>
    <w:lvl w:ilvl="3">
      <w:start w:val="0"/>
      <w:numFmt w:val="bullet"/>
      <w:lvlText w:val="•"/>
      <w:lvlJc w:val="left"/>
      <w:pPr>
        <w:ind w:left="2825" w:hanging="360"/>
      </w:pPr>
      <w:rPr>
        <w:rFonts w:hint="default"/>
        <w:lang w:val="fr-FR" w:eastAsia="en-US" w:bidi="ar-SA"/>
      </w:rPr>
    </w:lvl>
    <w:lvl w:ilvl="4">
      <w:start w:val="0"/>
      <w:numFmt w:val="bullet"/>
      <w:lvlText w:val="•"/>
      <w:lvlJc w:val="left"/>
      <w:pPr>
        <w:ind w:left="3758" w:hanging="360"/>
      </w:pPr>
      <w:rPr>
        <w:rFonts w:hint="default"/>
        <w:lang w:val="fr-FR" w:eastAsia="en-US" w:bidi="ar-SA"/>
      </w:rPr>
    </w:lvl>
    <w:lvl w:ilvl="5">
      <w:start w:val="0"/>
      <w:numFmt w:val="bullet"/>
      <w:lvlText w:val="•"/>
      <w:lvlJc w:val="left"/>
      <w:pPr>
        <w:ind w:left="4691" w:hanging="360"/>
      </w:pPr>
      <w:rPr>
        <w:rFonts w:hint="default"/>
        <w:lang w:val="fr-FR" w:eastAsia="en-US" w:bidi="ar-SA"/>
      </w:rPr>
    </w:lvl>
    <w:lvl w:ilvl="6">
      <w:start w:val="0"/>
      <w:numFmt w:val="bullet"/>
      <w:lvlText w:val="•"/>
      <w:lvlJc w:val="left"/>
      <w:pPr>
        <w:ind w:left="5624" w:hanging="360"/>
      </w:pPr>
      <w:rPr>
        <w:rFonts w:hint="default"/>
        <w:lang w:val="fr-FR" w:eastAsia="en-US" w:bidi="ar-SA"/>
      </w:rPr>
    </w:lvl>
    <w:lvl w:ilvl="7">
      <w:start w:val="0"/>
      <w:numFmt w:val="bullet"/>
      <w:lvlText w:val="•"/>
      <w:lvlJc w:val="left"/>
      <w:pPr>
        <w:ind w:left="6557" w:hanging="360"/>
      </w:pPr>
      <w:rPr>
        <w:rFonts w:hint="default"/>
        <w:lang w:val="fr-FR" w:eastAsia="en-US" w:bidi="ar-SA"/>
      </w:rPr>
    </w:lvl>
    <w:lvl w:ilvl="8">
      <w:start w:val="0"/>
      <w:numFmt w:val="bullet"/>
      <w:lvlText w:val="•"/>
      <w:lvlJc w:val="left"/>
      <w:pPr>
        <w:ind w:left="7490" w:hanging="360"/>
      </w:pPr>
      <w:rPr>
        <w:rFonts w:hint="default"/>
        <w:lang w:val="fr-FR"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fr-FR"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fr-FR" w:eastAsia="en-US" w:bidi="ar-SA"/>
    </w:rPr>
  </w:style>
  <w:style w:styleId="Title" w:type="paragraph">
    <w:name w:val="Title"/>
    <w:basedOn w:val="Normal"/>
    <w:uiPriority w:val="1"/>
    <w:qFormat/>
    <w:pPr>
      <w:spacing w:before="241"/>
      <w:ind w:left="426"/>
      <w:jc w:val="center"/>
    </w:pPr>
    <w:rPr>
      <w:rFonts w:ascii="Times New Roman" w:hAnsi="Times New Roman" w:eastAsia="Times New Roman" w:cs="Times New Roman"/>
      <w:b/>
      <w:bCs/>
      <w:sz w:val="36"/>
      <w:szCs w:val="36"/>
      <w:lang w:val="fr-FR" w:eastAsia="en-US" w:bidi="ar-SA"/>
    </w:rPr>
  </w:style>
  <w:style w:styleId="ListParagraph" w:type="paragraph">
    <w:name w:val="List Paragraph"/>
    <w:basedOn w:val="Normal"/>
    <w:uiPriority w:val="1"/>
    <w:qFormat/>
    <w:pPr>
      <w:spacing w:before="240"/>
      <w:ind w:left="1017" w:hanging="428"/>
      <w:jc w:val="both"/>
    </w:pPr>
    <w:rPr>
      <w:rFonts w:ascii="Times New Roman" w:hAnsi="Times New Roman" w:eastAsia="Times New Roman" w:cs="Times New Roman"/>
      <w:lang w:val="fr-FR" w:eastAsia="en-US" w:bidi="ar-SA"/>
    </w:rPr>
  </w:style>
  <w:style w:styleId="TableParagraph" w:type="paragraph">
    <w:name w:val="Table Paragraph"/>
    <w:basedOn w:val="Normal"/>
    <w:uiPriority w:val="1"/>
    <w:qFormat/>
    <w:pPr/>
    <w:rPr>
      <w:rFonts w:ascii="Times New Roman" w:hAnsi="Times New Roman" w:eastAsia="Times New Roman" w:cs="Times New Roman"/>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hyperlink" Target="http://www.larousse.fr/dictionnaires/francais/no/53664" TargetMode="External"/><Relationship Id="rId10" Type="http://schemas.openxmlformats.org/officeDocument/2006/relationships/hyperlink" Target="http://www.chanel.com/" TargetMode="External"/><Relationship Id="rId11" Type="http://schemas.openxmlformats.org/officeDocument/2006/relationships/hyperlink" Target="http://www.larousse.fr/dictionnaires" TargetMode="External"/><Relationship Id="rId12" Type="http://schemas.openxmlformats.org/officeDocument/2006/relationships/image" Target="media/image4.jpeg"/><Relationship Id="rId13" Type="http://schemas.openxmlformats.org/officeDocument/2006/relationships/header" Target="header2.xm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header" Target="header3.xml"/><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TOUTZIARAKI Theodora</dc:creator>
  <dc:title>1603-2024-5_BoA Decision.docx</dc:title>
  <dcterms:created xsi:type="dcterms:W3CDTF">2025-06-12T12:33:17Z</dcterms:created>
  <dcterms:modified xsi:type="dcterms:W3CDTF">2025-06-12T12:33:17Z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2025-03-27T00:00:00Z</vt:filetime>
  </property>
  <property fmtid="{D5CDD505-2E9C-101B-9397-08002B2CF9AE}" pid="3" name="Creator">
    <vt:lpwstr>Microsoft® Word 2019</vt:lpwstr>
  </property>
  <property fmtid="{D5CDD505-2E9C-101B-9397-08002B2CF9AE}" pid="4" name="LastSaved">
    <vt:filetime>2025-06-12T00:00:00Z</vt:filetime>
  </property>
  <property fmtid="{D5CDD505-2E9C-101B-9397-08002B2CF9AE}" pid="5" name="Producer">
    <vt:lpwstr>Microsoft® Word 2019; modified using iText® 5.4.4 ©2000-2013 1T3XT BVBA (AGPL-version)</vt:lpwstr>
  </property>
</Properties>
</file>